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545—5.2</w:t>
      </w:r>
      <w:r>
        <w:rPr>
          <w:rFonts w:ascii="Times New Roman" w:hAnsi="Times New Roman"/>
          <w:b/>
          <w:i w:val="false"/>
          <w:color w:val="000000"/>
          <w:sz w:val="22"/>
        </w:rPr>
        <w:t xml:space="preserve">(384) </w:t>
      </w:r>
      <w:r>
        <w:rPr>
          <w:rFonts w:ascii="Times New Roman" w:hAnsi="Times New Roman"/>
          <w:b/>
          <w:i w:val="false"/>
          <w:color w:val="000000"/>
          <w:sz w:val="22"/>
        </w:rPr>
        <w:t xml:space="preserve">Reimbursable costs. </w:t>
      </w:r>
      <w:r>
        <w:rPr>
          <w:rFonts w:ascii="Times New Roman" w:hAnsi="Times New Roman"/>
          <w:b w:val="false"/>
          <w:i w:val="false"/>
          <w:color w:val="000000"/>
          <w:sz w:val="22"/>
        </w:rPr>
        <w:t xml:space="preserve">Costs eligible for reimbursement include all necessary and actual training costs not otherwise recovered to comply with Iowa Code chapter </w:t>
      </w:r>
      <w:hyperlink r:id="rId4">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To the extent funding is available, costs incurred for approved advanced law enforcement training are also eligible for reimbursement. Advanced law enforcement training costs are to be approved by the local governing body and deemed legitimate, necessary, and proper by the director.</w:t>
      </w:r>
    </w:p>
    <w:p>
      <w:pPr>
        <w:spacing w:before="0" w:after="0"/>
        <w:ind w:left="120"/>
        <w:jc w:val="both"/>
      </w:pPr>
      <w:r>
        <w:rPr>
          <w:rFonts w:ascii="Times New Roman" w:hAnsi="Times New Roman"/>
          <w:b w:val="false"/>
          <w:i w:val="false"/>
          <w:color w:val="000000"/>
          <w:sz w:val="22"/>
        </w:rPr>
        <w:t>Reimbursable training costs include mileage, food, lodging, tuition, compensation of the officer in training, and the compensation of a replacement officer while the officer is in training. Mileage, food, and lodging costs are reimbursable at the rates normally reimbursed by the claimant to other employees for work-related travel. Compensation of the officer in training and the replacement officer(s) includes wages and employer-paid payroll taxes, insurance, and pension contributions. However, the reimbursable compensation of the replacement officer(s) will not exceed the reimbursable compensation of the officer in training.</w:t>
      </w:r>
    </w:p>
    <w:p>
      <w:pPr>
        <w:spacing w:before="0" w:after="0"/>
        <w:ind w:left="120"/>
        <w:jc w:val="both"/>
      </w:pPr>
      <w:r>
        <w:rPr>
          <w:rFonts w:ascii="Times New Roman" w:hAnsi="Times New Roman"/>
          <w:b w:val="false"/>
          <w:i w:val="false"/>
          <w:color w:val="000000"/>
          <w:sz w:val="22"/>
        </w:rPr>
        <w:t>Other costs eligible for reimbursement include those necessitated by the training facility, such as training uniforms, supplies, or equipment that was paid for by the claimant and not returned to or used by the claimant after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0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