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545—5.1</w:t>
      </w:r>
      <w:r>
        <w:rPr>
          <w:rFonts w:ascii="Times New Roman" w:hAnsi="Times New Roman"/>
          <w:b/>
          <w:i w:val="false"/>
          <w:color w:val="000000"/>
          <w:sz w:val="22"/>
        </w:rPr>
        <w:t xml:space="preserve">(384) </w:t>
      </w:r>
      <w:r>
        <w:rPr>
          <w:rFonts w:ascii="Times New Roman" w:hAnsi="Times New Roman"/>
          <w:b/>
          <w:i w:val="false"/>
          <w:color w:val="000000"/>
          <w:sz w:val="22"/>
        </w:rPr>
        <w:t xml:space="preserve">Eligible reimbursement. </w:t>
      </w:r>
      <w:r>
        <w:rPr>
          <w:rFonts w:ascii="Times New Roman" w:hAnsi="Times New Roman"/>
          <w:b w:val="false"/>
          <w:i w:val="false"/>
          <w:color w:val="000000"/>
          <w:sz w:val="22"/>
        </w:rPr>
        <w:t>Cities and counties are eligible for reimbursement of law enforcement officer training costs for law enforcement officers who have resigned. Training costs for officers fired, retired, or disabled will not be 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