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545—4.4</w:t>
      </w:r>
      <w:r>
        <w:rPr>
          <w:rFonts w:ascii="Times New Roman" w:hAnsi="Times New Roman"/>
          <w:b/>
          <w:i w:val="false"/>
          <w:color w:val="000000"/>
          <w:sz w:val="22"/>
        </w:rPr>
        <w:t xml:space="preserve">(384) </w:t>
      </w:r>
      <w:r>
        <w:rPr>
          <w:rFonts w:ascii="Times New Roman" w:hAnsi="Times New Roman"/>
          <w:b/>
          <w:i w:val="false"/>
          <w:color w:val="000000"/>
          <w:sz w:val="22"/>
        </w:rPr>
        <w:t xml:space="preserve">Budgeting—other than general fund and road use tax fund. </w:t>
      </w:r>
      <w:r>
        <w:rPr>
          <w:rFonts w:ascii="Times New Roman" w:hAnsi="Times New Roman"/>
          <w:b w:val="false"/>
          <w:i w:val="false"/>
          <w:color w:val="000000"/>
          <w:sz w:val="22"/>
        </w:rPr>
        <w:t>The revenues and appropriations for employee benefits for those employees being paid from any fund other than the city general fund and the road use tax fund are to be budgeted in and paid from the fund from which the employee is being paid.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0392D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