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545—4.2</w:t>
      </w:r>
      <w:r>
        <w:rPr>
          <w:rFonts w:ascii="Times New Roman" w:hAnsi="Times New Roman"/>
          <w:b/>
          <w:i w:val="false"/>
          <w:color w:val="000000"/>
          <w:sz w:val="22"/>
        </w:rPr>
        <w:t xml:space="preserve">(384) </w:t>
      </w:r>
      <w:r>
        <w:rPr>
          <w:rFonts w:ascii="Times New Roman" w:hAnsi="Times New Roman"/>
          <w:b/>
          <w:i w:val="false"/>
          <w:color w:val="000000"/>
          <w:sz w:val="22"/>
        </w:rPr>
        <w:t xml:space="preserve">Mandatory procedures. </w:t>
      </w:r>
      <w:r>
        <w:rPr>
          <w:rFonts w:ascii="Times New Roman" w:hAnsi="Times New Roman"/>
          <w:b w:val="false"/>
          <w:i w:val="false"/>
          <w:color w:val="000000"/>
          <w:sz w:val="22"/>
        </w:rPr>
        <w:t>These employee benefits will be budgeted in the city general fund up to the tax rate limit of that fund with the excess being budgeted in the trust and agency fund for those employees being paid from the city general fund: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Employer’s share of FICA under Iowa Code section </w:t>
      </w:r>
      <w:hyperlink r:id="rId4">
        <w:r>
          <w:rPr>
            <w:rStyle w:val="Hyperlink"/>
            <w:rFonts w:ascii="Times New Roman" w:hAnsi="Times New Roman"/>
            <w:b w:val="false"/>
            <w:i w:val="false"/>
            <w:color w:val="000000"/>
            <w:sz w:val="22"/>
          </w:rPr>
          <w:t>97C.10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Employer’s share of IPERS under Iowa Code section </w:t>
      </w:r>
      <w:hyperlink r:id="rId5">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7C.10.pdf" Type="http://schemas.openxmlformats.org/officeDocument/2006/relationships/hyperlink" Id="rId4"/>
    <Relationship TargetMode="External" Target="https://www.legis.iowa.gov/docs/ico/chapter/97B.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