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545—2.2</w:t>
      </w:r>
      <w:r>
        <w:rPr>
          <w:rFonts w:ascii="Times New Roman" w:hAnsi="Times New Roman"/>
          <w:b/>
          <w:i w:val="false"/>
          <w:color w:val="000000"/>
          <w:sz w:val="22"/>
        </w:rPr>
        <w:t xml:space="preserve">(384,388) </w:t>
      </w:r>
      <w:r>
        <w:rPr>
          <w:rFonts w:ascii="Times New Roman" w:hAnsi="Times New Roman"/>
          <w:b/>
          <w:i w:val="false"/>
          <w:color w:val="000000"/>
          <w:sz w:val="22"/>
        </w:rPr>
        <w:t xml:space="preserve">Transfers between programs. </w:t>
      </w:r>
      <w:r>
        <w:rPr>
          <w:rFonts w:ascii="Times New Roman" w:hAnsi="Times New Roman"/>
          <w:b w:val="false"/>
          <w:i w:val="false"/>
          <w:color w:val="000000"/>
          <w:sz w:val="22"/>
        </w:rPr>
        <w:t xml:space="preserve">Except as specifically provided elsewhere in these rules, all appropriation transfers between programs are budget amendments and will be prepared as provided in Iowa Code section </w:t>
      </w:r>
      <w:hyperlink r:id="rId4">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5">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adopted budget amendments to permit the transfer of adopted budget appropriations between programs are to be certified to the auditor of the county or counties where the city is located and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84.16.pdf" Type="http://schemas.openxmlformats.org/officeDocument/2006/relationships/hyperlink" Id="rId4"/>
    <Relationship TargetMode="External" Target="https://www.legis.iowa.gov/docs/ico/chapter/384.1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