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545—2.1</w:t>
      </w:r>
      <w:r>
        <w:rPr>
          <w:rFonts w:ascii="Times New Roman" w:hAnsi="Times New Roman"/>
          <w:b/>
          <w:i w:val="false"/>
          <w:color w:val="000000"/>
          <w:sz w:val="22"/>
        </w:rPr>
        <w:t xml:space="preserve">(384,388) </w:t>
      </w:r>
      <w:r>
        <w:rPr>
          <w:rFonts w:ascii="Times New Roman" w:hAnsi="Times New Roman"/>
          <w:b/>
          <w:i w:val="false"/>
          <w:color w:val="000000"/>
          <w:sz w:val="22"/>
        </w:rPr>
        <w:t xml:space="preserve">Appropriation of unanticipated amount. </w:t>
      </w:r>
      <w:r>
        <w:rPr>
          <w:rFonts w:ascii="Times New Roman" w:hAnsi="Times New Roman"/>
          <w:b w:val="false"/>
          <w:i w:val="false"/>
          <w:color w:val="000000"/>
          <w:sz w:val="22"/>
        </w:rPr>
        <w:t xml:space="preserve">Budget amendments to the adopted city budget to permit the appropriation and expenditure of unencumbered and unanticipated balances or amounts anticipated to be available from sources other than property taxes but which have not been appropriated in the adopted budget will be prepared as provided in Iowa Code section </w:t>
      </w:r>
      <w:hyperlink r:id="rId4">
        <w:r>
          <w:rPr>
            <w:rStyle w:val="Hyperlink"/>
            <w:rFonts w:ascii="Times New Roman" w:hAnsi="Times New Roman"/>
            <w:b w:val="false"/>
            <w:i w:val="false"/>
            <w:color w:val="000000"/>
            <w:sz w:val="22"/>
          </w:rPr>
          <w:t>384.16</w:t>
        </w:r>
      </w:hyperlink>
      <w:r>
        <w:rPr>
          <w:rFonts w:ascii="Times New Roman" w:hAnsi="Times New Roman"/>
          <w:b w:val="false"/>
          <w:i w:val="false"/>
          <w:color w:val="000000"/>
          <w:sz w:val="22"/>
        </w:rPr>
        <w:t xml:space="preserve"> and are subject to protest as provided in Iowa Code section </w:t>
      </w:r>
      <w:hyperlink r:id="rId5">
        <w:r>
          <w:rPr>
            <w:rStyle w:val="Hyperlink"/>
            <w:rFonts w:ascii="Times New Roman" w:hAnsi="Times New Roman"/>
            <w:b w:val="false"/>
            <w:i w:val="false"/>
            <w:color w:val="000000"/>
            <w:sz w:val="22"/>
          </w:rPr>
          <w:t>384.19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All adopted budget amendments to appropriate and expend unanticipated amounts are to be certified to the auditor of the county or counties where the city is located and to the director.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0390D</w:t>
      </w:r>
      <w:r>
        <w:rPr>
          <w:rFonts w:ascii="Times New Roman" w:hAnsi="Times New Roman"/>
          <w:b w:val="false"/>
          <w:i w:val="false"/>
          <w:color w:val="000000"/>
          <w:sz w:val="16"/>
        </w:rPr>
        <w:t>, IAB 6/24/26, effective 7/29/26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384.16.pdf" Type="http://schemas.openxmlformats.org/officeDocument/2006/relationships/hyperlink" Id="rId4"/>
    <Relationship TargetMode="External" Target="https://www.legis.iowa.gov/docs/ico/chapter/384.19.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