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545—1.9</w:t>
      </w:r>
      <w:r>
        <w:rPr>
          <w:rFonts w:ascii="Times New Roman" w:hAnsi="Times New Roman"/>
          <w:b/>
          <w:i w:val="false"/>
          <w:color w:val="000000"/>
          <w:sz w:val="22"/>
        </w:rPr>
        <w:t xml:space="preserve">(384) </w:t>
      </w:r>
      <w:r>
        <w:rPr>
          <w:rFonts w:ascii="Times New Roman" w:hAnsi="Times New Roman"/>
          <w:b/>
          <w:i w:val="false"/>
          <w:color w:val="000000"/>
          <w:sz w:val="22"/>
        </w:rPr>
        <w:t xml:space="preserve">Order of business. </w:t>
      </w:r>
      <w:r>
        <w:rPr>
          <w:rFonts w:ascii="Times New Roman" w:hAnsi="Times New Roman"/>
          <w:b w:val="false"/>
          <w:i w:val="false"/>
          <w:color w:val="000000"/>
          <w:sz w:val="22"/>
        </w:rPr>
        <w:t>The meetings of the city finance committee are to be presided over by the chairperson or the vice chairperson. Unless otherwise stipulated in these rules, Robert’s Rules of Order are to be followed in conducting the business of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