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545—1.6</w:t>
      </w:r>
      <w:r>
        <w:rPr>
          <w:rFonts w:ascii="Times New Roman" w:hAnsi="Times New Roman"/>
          <w:b/>
          <w:i w:val="false"/>
          <w:color w:val="000000"/>
          <w:sz w:val="22"/>
        </w:rPr>
        <w:t xml:space="preserve">(384) </w:t>
      </w:r>
      <w:r>
        <w:rPr>
          <w:rFonts w:ascii="Times New Roman" w:hAnsi="Times New Roman"/>
          <w:b/>
          <w:i w:val="false"/>
          <w:color w:val="000000"/>
          <w:sz w:val="22"/>
        </w:rPr>
        <w:t xml:space="preserve">Meeting. </w:t>
      </w:r>
      <w:r>
        <w:rPr>
          <w:rFonts w:ascii="Times New Roman" w:hAnsi="Times New Roman"/>
          <w:b w:val="false"/>
          <w:i w:val="false"/>
          <w:color w:val="000000"/>
          <w:sz w:val="22"/>
        </w:rPr>
        <w:t xml:space="preserve">A meeting of the committee is to be held at the call of the director, the request of a majority of committee members, or upon an appeal of the director’s decision. All meetings will be open to the public with the exception of any closed sessions of such meetings conducted in accordance with Iowa Code chapter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