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(384)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Membership.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selection, appointment and approval of members to the city finance committee are made as provided for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384.13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Names of designees will be given to the committee chairperson in writing by July 1 of each year, or promptly, if changed.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84.13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