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545—1.1</w:t>
      </w:r>
      <w:r>
        <w:rPr>
          <w:rFonts w:ascii="Times New Roman" w:hAnsi="Times New Roman"/>
          <w:b/>
          <w:i w:val="false"/>
          <w:color w:val="000000"/>
          <w:sz w:val="22"/>
        </w:rPr>
        <w:t xml:space="preserve">(384) </w:t>
      </w:r>
      <w:r>
        <w:rPr>
          <w:rFonts w:ascii="Times New Roman" w:hAnsi="Times New Roman"/>
          <w:b/>
          <w:i w:val="false"/>
          <w:color w:val="000000"/>
          <w:sz w:val="22"/>
        </w:rPr>
        <w:t xml:space="preserve">Purpose. </w:t>
      </w:r>
      <w:r>
        <w:rPr>
          <w:rFonts w:ascii="Times New Roman" w:hAnsi="Times New Roman"/>
          <w:b w:val="false"/>
          <w:i w:val="false"/>
          <w:color w:val="000000"/>
          <w:sz w:val="22"/>
        </w:rPr>
        <w:t>To ensure that the proceedings of the city finance committee are conducted in an orderly manner and also to provide that the public is kept informed of actions taken by the city finance committee, the committee adopts the following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