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501—2506.8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or videoconference in which all parties have an opportunity to participate. Contested case hearings may be held by telephone or videoconference with the consent of all parties. Any party may call witnesses by telephone conference or videoconference with 14 days’ advance notice to all parties and the presiding officer. Failure of a party to make timely disclosure may result in the disallowance of testimony by telephone conference or videoconference.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0370D</w:t>
      </w:r>
      <w:r>
        <w:rPr>
          <w:rFonts w:ascii="Times New Roman" w:hAnsi="Times New Roman"/>
          <w:b w:val="false"/>
          <w:i w:val="false"/>
          <w:color w:val="000000"/>
          <w:sz w:val="16"/>
        </w:rPr>
        <w:t>, IAB 6/24/26, effective 6/30/26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