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481—781.5</w:t>
      </w:r>
      <w:r>
        <w:rPr>
          <w:rFonts w:ascii="Times New Roman" w:hAnsi="Times New Roman"/>
          <w:b/>
          <w:i w:val="false"/>
          <w:color w:val="000000"/>
          <w:sz w:val="22"/>
        </w:rPr>
        <w:t xml:space="preserve">(147) </w:t>
      </w:r>
      <w:r>
        <w:rPr>
          <w:rFonts w:ascii="Times New Roman" w:hAnsi="Times New Roman"/>
          <w:b/>
          <w:i w:val="false"/>
          <w:color w:val="000000"/>
          <w:sz w:val="22"/>
        </w:rPr>
        <w:t xml:space="preserve">Supplying—requirements for containers, labeling, and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781.5(1)</w:t>
      </w:r>
      <w:r>
        <w:rPr>
          <w:rFonts w:ascii="Times New Roman" w:hAnsi="Times New Roman"/>
          <w:b w:val="false"/>
          <w:i w:val="false"/>
          <w:color w:val="000000"/>
          <w:sz w:val="22"/>
        </w:rPr>
        <w:t> </w:t>
      </w:r>
      <w:r>
        <w:rPr>
          <w:rFonts w:ascii="Times New Roman" w:hAnsi="Times New Roman"/>
          <w:b w:val="false"/>
          <w:i/>
          <w:color w:val="000000"/>
          <w:sz w:val="22"/>
        </w:rPr>
        <w:t xml:space="preserve">Containers. </w:t>
      </w:r>
      <w:r>
        <w:rPr>
          <w:rFonts w:ascii="Times New Roman" w:hAnsi="Times New Roman"/>
          <w:b w:val="false"/>
          <w:i w:val="false"/>
          <w:color w:val="000000"/>
          <w:sz w:val="22"/>
        </w:rPr>
        <w:t>A prescription drug will be supplied in a container that meets the requirements of the Poison Prevention Packaging Act of 1970, 15 U.S.C. §1471-1476 (1976), which relate to childproof closure, unless otherwise requested by the patient. The containers must also meet the requirements of Section 502G of the Federal Food, Drug and Cosmetic Act, 21 U.S.C. §301 et seq.</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(1976), which pertain to light resistance and moisture resistance needs of the drug supplied.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781.5(2)</w:t>
      </w:r>
      <w:r>
        <w:rPr>
          <w:rFonts w:ascii="Times New Roman" w:hAnsi="Times New Roman"/>
          <w:b w:val="false"/>
          <w:i w:val="false"/>
          <w:color w:val="000000"/>
          <w:sz w:val="22"/>
        </w:rPr>
        <w:t> </w:t>
      </w:r>
      <w:r>
        <w:rPr>
          <w:rFonts w:ascii="Times New Roman" w:hAnsi="Times New Roman"/>
          <w:b w:val="false"/>
          <w:i/>
          <w:color w:val="000000"/>
          <w:sz w:val="22"/>
        </w:rPr>
        <w:t xml:space="preserve">Labeling. </w:t>
      </w:r>
      <w:r>
        <w:rPr>
          <w:rFonts w:ascii="Times New Roman" w:hAnsi="Times New Roman"/>
          <w:b w:val="false"/>
          <w:i w:val="false"/>
          <w:color w:val="000000"/>
          <w:sz w:val="22"/>
        </w:rPr>
        <w:t>A label bearing the following information will be affixed to a container in which a prescription drug is supplied: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and practice address of the supervising physician and physician associate.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name of the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date supplied.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directions for administering the prescription drug and any cautionary statement deemed appropriate by the physician associate.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name, strength and quantity of the prescription drug in the container.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When supplying Schedule II, III, or IV controlled substances, the federal transfer warning statement must appear on the label as follows: “Caution: Federal law prohibits the transfer of this drug to any person other than the patient for whom it was prescribed.”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781.5(3)</w:t>
      </w:r>
      <w:r>
        <w:rPr>
          <w:rFonts w:ascii="Times New Roman" w:hAnsi="Times New Roman"/>
          <w:b w:val="false"/>
          <w:i w:val="false"/>
          <w:color w:val="000000"/>
          <w:sz w:val="22"/>
        </w:rPr>
        <w:t> </w:t>
      </w:r>
      <w:r>
        <w:rPr>
          <w:rFonts w:ascii="Times New Roman" w:hAnsi="Times New Roman"/>
          <w:b w:val="false"/>
          <w:i/>
          <w:color w:val="000000"/>
          <w:sz w:val="22"/>
        </w:rPr>
        <w:t xml:space="preserve">Samples. </w:t>
      </w:r>
      <w:r>
        <w:rPr>
          <w:rFonts w:ascii="Times New Roman" w:hAnsi="Times New Roman"/>
          <w:b w:val="false"/>
          <w:i w:val="false"/>
          <w:color w:val="000000"/>
          <w:sz w:val="22"/>
        </w:rPr>
        <w:t>Prescription sample drugs will be provided without additional charge to the patient. Prescription sample drugs supplied in the original container or package will be deemed to conform to labeling and packaging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781.5(4)</w:t>
      </w:r>
      <w:r>
        <w:rPr>
          <w:rFonts w:ascii="Times New Roman" w:hAnsi="Times New Roman"/>
          <w:b w:val="false"/>
          <w:i w:val="false"/>
          <w:color w:val="000000"/>
          <w:sz w:val="22"/>
        </w:rPr>
        <w:t> </w:t>
      </w:r>
      <w:r>
        <w:rPr>
          <w:rFonts w:ascii="Times New Roman" w:hAnsi="Times New Roman"/>
          <w:b w:val="false"/>
          <w:i/>
          <w:color w:val="000000"/>
          <w:sz w:val="22"/>
        </w:rPr>
        <w:t xml:space="preserve">Records. </w:t>
      </w:r>
      <w:r>
        <w:rPr>
          <w:rFonts w:ascii="Times New Roman" w:hAnsi="Times New Roman"/>
          <w:b w:val="false"/>
          <w:i w:val="false"/>
          <w:color w:val="000000"/>
          <w:sz w:val="22"/>
        </w:rPr>
        <w:t xml:space="preserve">A record of prescription drugs supplied by the physician associate to a patient will be kept that contains the label information required by paragraphs </w:t>
      </w:r>
      <w:r>
        <w:rPr>
          <w:rFonts w:ascii="Times New Roman" w:hAnsi="Times New Roman"/>
          <w:b w:val="false"/>
          <w:i w:val="false"/>
          <w:color w:val="000000"/>
          <w:sz w:val="22"/>
        </w:rPr>
        <w:t>781.7(2)</w:t>
      </w:r>
      <w:r>
        <w:rPr>
          <w:rFonts w:ascii="Times New Roman" w:hAnsi="Times New Roman"/>
          <w:b w:val="false"/>
          <w:i/>
          <w:color w:val="000000"/>
          <w:sz w:val="22"/>
        </w:rPr>
        <w:t xml:space="preserve">“b” </w:t>
      </w:r>
      <w:r>
        <w:rPr>
          <w:rFonts w:ascii="Times New Roman" w:hAnsi="Times New Roman"/>
          <w:b w:val="false"/>
          <w:i w:val="false"/>
          <w:color w:val="000000"/>
          <w:sz w:val="22"/>
        </w:rPr>
        <w:t xml:space="preserve">through </w:t>
      </w:r>
      <w:r>
        <w:rPr>
          <w:rFonts w:ascii="Times New Roman" w:hAnsi="Times New Roman"/>
          <w:b w:val="false"/>
          <w:i/>
          <w:color w:val="000000"/>
          <w:sz w:val="22"/>
        </w:rPr>
        <w:t>“e.”</w:t>
      </w:r>
      <w:r>
        <w:rPr>
          <w:rFonts w:ascii="Times New Roman" w:hAnsi="Times New Roman"/>
          <w:b w:val="false"/>
          <w:i w:val="false"/>
          <w:color w:val="000000"/>
          <w:sz w:val="22"/>
        </w:rPr>
        <w:t xml:space="preserve"> Noting such information on the patient’s chart or record is sufficient.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8038C</w:t>
      </w:r>
      <w:r>
        <w:rPr>
          <w:rFonts w:ascii="Times New Roman" w:hAnsi="Times New Roman"/>
          <w:b w:val="false"/>
          <w:i w:val="false"/>
          <w:color w:val="000000"/>
          <w:sz w:val="16"/>
        </w:rPr>
        <w:t>, IAB 5/29/24, effective 7/3/24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