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associate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against the applicant from every jurisdiction in which the applicant has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200 hours of continuing education within two years of application for reactivation, of which at least 40 percent of the hours completed will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