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will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4">
        <w:r>
          <w:rPr>
            <w:rStyle w:val="Hyperlink"/>
            <w:rFonts w:ascii="Times New Roman" w:hAnsi="Times New Roman"/>
            <w:b w:val="false"/>
            <w:i w:val="false"/>
            <w:color w:val="000000"/>
            <w:sz w:val="22"/>
          </w:rPr>
          <w:t>481—Chapter 782</w:t>
        </w:r>
      </w:hyperlink>
      <w:r>
        <w:rPr>
          <w:rFonts w:ascii="Times New Roman" w:hAnsi="Times New Roman"/>
          <w:b w:val="false"/>
          <w:i w:val="false"/>
          <w:color w:val="000000"/>
          <w:sz w:val="22"/>
        </w:rPr>
        <w:t xml:space="preserve"> and the mandatory reporting requirements of subrule </w:t>
      </w:r>
      <w:hyperlink r:id="rId5">
        <w:r>
          <w:rPr>
            <w:rStyle w:val="Hyperlink"/>
            <w:rFonts w:ascii="Times New Roman" w:hAnsi="Times New Roman"/>
            <w:b w:val="false"/>
            <w:i w:val="false"/>
            <w:color w:val="000000"/>
            <w:sz w:val="22"/>
          </w:rPr>
          <w:t>780.8(4)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completion of continuing education hours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will indicate on the renewal application completion of training in child abuse identification and reporting as required by Iowa Code section </w:t>
      </w:r>
      <w:hyperlink r:id="rId6">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7">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will indicate on the renewal application completion of training in dependent adult abuse identification and reporting as required by Iowa Code section </w:t>
      </w:r>
      <w:hyperlink r:id="rId8">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9">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will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maintain written documentation for three years after mandatory training as identified in paragraphs </w:t>
      </w:r>
      <w:hyperlink r:id="rId10">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11">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issued.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associate will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A licensee will be assessed a late fee as specified in </w:t>
      </w:r>
      <w:hyperlink r:id="rId12">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associate in Iowa until the license is reactivated. A licensee who practices as a physician associate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782.pdf" Type="http://schemas.openxmlformats.org/officeDocument/2006/relationships/hyperlink" Id="rId4"/>
    <Relationship TargetMode="External" Target="https://www.legis.iowa.gov/docs/iac/rule/481.780.8.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ac/rule/481.780.8.pdf" Type="http://schemas.openxmlformats.org/officeDocument/2006/relationships/hyperlink" Id="rId7"/>
    <Relationship TargetMode="External" Target="https://www.legis.iowa.gov/docs/ico/chapter/235B.16.pdf" Type="http://schemas.openxmlformats.org/officeDocument/2006/relationships/hyperlink" Id="rId8"/>
    <Relationship TargetMode="External" Target="https://www.legis.iowa.gov/docs/iac/rule/481.780.8.pdf" Type="http://schemas.openxmlformats.org/officeDocument/2006/relationships/hyperlink" Id="rId9"/>
    <Relationship TargetMode="External" Target="https://www.legis.iowa.gov/docs/iac/rule/481.780.8.pdf" Type="http://schemas.openxmlformats.org/officeDocument/2006/relationships/hyperlink" Id="rId10"/>
    <Relationship TargetMode="External" Target="https://www.legis.iowa.gov/docs/iac/rule/481.780.8.pdf" Type="http://schemas.openxmlformats.org/officeDocument/2006/relationships/hyperlink" Id="rId11"/>
    <Relationship TargetMode="External" Target="https://www.legis.iowa.gov/docs/iac/rule/481.507.14.pdf" Type="http://schemas.openxmlformats.org/officeDocument/2006/relationships/hyperlink" Id="rId12"/>
    <Relationship TargetMode="External" Target="https://www.legis.iowa.gov/docs/ico/chapter/147.83.pdf" Type="http://schemas.openxmlformats.org/officeDocument/2006/relationships/hyperlink" Id="rId13"/>
    <Relationship TargetMode="External" Target="https://www.legis.iowa.gov/docs/ico/chapter/147.86.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