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Collaborative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conclusion of two years of practice under a supervising physician as required by rule </w:t>
      </w:r>
      <w:hyperlink r:id="rId4">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 xml:space="preserve">(148C), a physician associate will continue collaboration with a physician or other health care provider as defined in rule </w:t>
      </w:r>
      <w:hyperlink r:id="rId5">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 xml:space="preserve">(148C), which will be determined at the practice level.  This rule shall not be construed to apply to physician associates in independent practice who did not previously meet the criteria of rule </w:t>
      </w:r>
      <w:hyperlink r:id="rId6">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collaborating physician or other health care provider defined in rule </w:t>
      </w:r>
      <w:hyperlink r:id="rId7">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and a physician associate should follow best practice guidelines and discuss cases as determined at the practice level. If there are any deficiencies in care noted, the collaborating health care provider will educate the physician associate on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780.7(3)</w:t>
      </w:r>
      <w:r>
        <w:rPr>
          <w:rFonts w:ascii="Times New Roman" w:hAnsi="Times New Roman"/>
          <w:b w:val="false"/>
          <w:i w:val="false"/>
          <w:color w:val="000000"/>
          <w:sz w:val="22"/>
        </w:rPr>
        <w:t> </w:t>
      </w:r>
      <w:r>
        <w:rPr>
          <w:rFonts w:ascii="Times New Roman" w:hAnsi="Times New Roman"/>
          <w:b w:val="false"/>
          <w:i w:val="false"/>
          <w:color w:val="000000"/>
          <w:sz w:val="22"/>
        </w:rPr>
        <w:t>The scope of practice for a physician associate shall be limited to medical care that is within the physician associate’s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780.7(4)</w:t>
      </w:r>
      <w:r>
        <w:rPr>
          <w:rFonts w:ascii="Times New Roman" w:hAnsi="Times New Roman"/>
          <w:b w:val="false"/>
          <w:i w:val="false"/>
          <w:color w:val="000000"/>
          <w:sz w:val="22"/>
        </w:rPr>
        <w:t> </w:t>
      </w:r>
      <w:r>
        <w:rPr>
          <w:rFonts w:ascii="Times New Roman" w:hAnsi="Times New Roman"/>
          <w:b w:val="false"/>
          <w:i w:val="false"/>
          <w:color w:val="000000"/>
          <w:sz w:val="22"/>
        </w:rPr>
        <w:t>Documentation of the collaboration between a physician associate and a physician or other health care provider shall be kept by the physician associate and provided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780.7(5)</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of other health care provider for collaboration. During the two-year period of collaboration, the other health care provider as defined in rule </w:t>
      </w:r>
      <w:hyperlink r:id="rId8">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shall be a provider who has been in practice for a minimum of five years and is not subject to discipline by the provider’s respective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80.5.pdf" Type="http://schemas.openxmlformats.org/officeDocument/2006/relationships/hyperlink" Id="rId4"/>
    <Relationship TargetMode="External" Target="https://www.legis.iowa.gov/docs/iac/rule/481.780.1.pdf" Type="http://schemas.openxmlformats.org/officeDocument/2006/relationships/hyperlink" Id="rId5"/>
    <Relationship TargetMode="External" Target="https://www.legis.iowa.gov/docs/iac/rule/481.780.5.pdf" Type="http://schemas.openxmlformats.org/officeDocument/2006/relationships/hyperlink" Id="rId6"/>
    <Relationship TargetMode="External" Target="https://www.legis.iowa.gov/docs/iac/rule/481.780.1.pdf" Type="http://schemas.openxmlformats.org/officeDocument/2006/relationships/hyperlink" Id="rId7"/>
    <Relationship TargetMode="External" Target="https://www.legis.iowa.gov/docs/iac/rule/481.780.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