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481—780.3</w:t>
      </w:r>
      <w:r>
        <w:rPr>
          <w:rFonts w:ascii="Times New Roman" w:hAnsi="Times New Roman"/>
          <w:b/>
          <w:i w:val="false"/>
          <w:color w:val="000000"/>
          <w:sz w:val="22"/>
        </w:rPr>
        <w:t xml:space="preserve">(148C) </w:t>
      </w:r>
      <w:r>
        <w:rPr>
          <w:rFonts w:ascii="Times New Roman" w:hAnsi="Times New Roman"/>
          <w:b/>
          <w:i w:val="false"/>
          <w:color w:val="000000"/>
          <w:sz w:val="22"/>
        </w:rPr>
        <w:t xml:space="preserve">Temporary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780.3(1)</w:t>
      </w:r>
      <w:r>
        <w:rPr>
          <w:rFonts w:ascii="Times New Roman" w:hAnsi="Times New Roman"/>
          <w:b w:val="false"/>
          <w:i w:val="false"/>
          <w:color w:val="000000"/>
          <w:sz w:val="22"/>
        </w:rPr>
        <w:t> </w:t>
      </w:r>
      <w:r>
        <w:rPr>
          <w:rFonts w:ascii="Times New Roman" w:hAnsi="Times New Roman"/>
          <w:b w:val="false"/>
          <w:i w:val="false"/>
          <w:color w:val="000000"/>
          <w:sz w:val="22"/>
        </w:rPr>
        <w:t>A temporary license may be issued for an applicant for licensure who has not taken the NCCPA initial certification examination or successor agency examination or is waiting for the results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must comply with subrule </w:t>
      </w:r>
      <w:hyperlink r:id="rId4">
        <w:r>
          <w:rPr>
            <w:rStyle w:val="Hyperlink"/>
            <w:rFonts w:ascii="Times New Roman" w:hAnsi="Times New Roman"/>
            <w:b w:val="false"/>
            <w:i w:val="false"/>
            <w:color w:val="000000"/>
            <w:sz w:val="22"/>
          </w:rPr>
          <w:t>780.2(1)</w:t>
        </w:r>
      </w:hyperlink>
      <w:r>
        <w:rPr>
          <w:rFonts w:ascii="Times New Roman" w:hAnsi="Times New Roman"/>
          <w:b w:val="false"/>
          <w:i w:val="false"/>
          <w:color w:val="000000"/>
          <w:sz w:val="22"/>
        </w:rPr>
        <w:t xml:space="preserve">, with the exception of paragraphs </w:t>
      </w:r>
      <w:hyperlink r:id="rId5">
        <w:r>
          <w:rPr>
            <w:rStyle w:val="Hyperlink"/>
            <w:rFonts w:ascii="Times New Roman" w:hAnsi="Times New Roman"/>
            <w:b w:val="false"/>
            <w:i w:val="false"/>
            <w:color w:val="000000"/>
            <w:sz w:val="22"/>
          </w:rPr>
          <w:t>780.2(1)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780.3(3)</w:t>
      </w:r>
      <w:r>
        <w:rPr>
          <w:rFonts w:ascii="Times New Roman" w:hAnsi="Times New Roman"/>
          <w:b w:val="false"/>
          <w:i w:val="false"/>
          <w:color w:val="000000"/>
          <w:sz w:val="22"/>
        </w:rPr>
        <w:t> </w:t>
      </w:r>
      <w:r>
        <w:rPr>
          <w:rFonts w:ascii="Times New Roman" w:hAnsi="Times New Roman"/>
          <w:b w:val="false"/>
          <w:i w:val="false"/>
          <w:color w:val="000000"/>
          <w:sz w:val="22"/>
        </w:rPr>
        <w:t>A temporary license will be valid for one year from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780.3(4)</w:t>
      </w:r>
      <w:r>
        <w:rPr>
          <w:rFonts w:ascii="Times New Roman" w:hAnsi="Times New Roman"/>
          <w:b w:val="false"/>
          <w:i w:val="false"/>
          <w:color w:val="000000"/>
          <w:sz w:val="22"/>
        </w:rPr>
        <w:t> </w:t>
      </w:r>
      <w:r>
        <w:rPr>
          <w:rFonts w:ascii="Times New Roman" w:hAnsi="Times New Roman"/>
          <w:b w:val="false"/>
          <w:i w:val="false"/>
          <w:color w:val="000000"/>
          <w:sz w:val="22"/>
        </w:rPr>
        <w:t>The temporary license will be renewed only once upon an applicant for licensure’s showing proof that, through no fault of the applicant, the applicant was unable to take the certification examination recognized by the board. Proof of inability to take the certification examination will be submitted to the board office with written request for renewal of a temporary license, accompanied by the temporary license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780.3(5)</w:t>
      </w:r>
      <w:r>
        <w:rPr>
          <w:rFonts w:ascii="Times New Roman" w:hAnsi="Times New Roman"/>
          <w:b w:val="false"/>
          <w:i w:val="false"/>
          <w:color w:val="000000"/>
          <w:sz w:val="22"/>
        </w:rPr>
        <w:t> </w:t>
      </w:r>
      <w:r>
        <w:rPr>
          <w:rFonts w:ascii="Times New Roman" w:hAnsi="Times New Roman"/>
          <w:b w:val="false"/>
          <w:i w:val="false"/>
          <w:color w:val="000000"/>
          <w:sz w:val="22"/>
        </w:rPr>
        <w:t>If the temporary licensee fails the certification examination, the temporary licensee must cease practice immediately and surrender the temporary license by the next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780.3(6)</w:t>
      </w:r>
      <w:r>
        <w:rPr>
          <w:rFonts w:ascii="Times New Roman" w:hAnsi="Times New Roman"/>
          <w:b w:val="false"/>
          <w:i w:val="false"/>
          <w:color w:val="000000"/>
          <w:sz w:val="22"/>
        </w:rPr>
        <w:t> </w:t>
      </w:r>
      <w:r>
        <w:rPr>
          <w:rFonts w:ascii="Times New Roman" w:hAnsi="Times New Roman"/>
          <w:b w:val="false"/>
          <w:i w:val="false"/>
          <w:color w:val="000000"/>
          <w:sz w:val="22"/>
        </w:rPr>
        <w:t>There is no additional fee for converting temporary licensure to permanent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780.3(7)</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will ensure that certification of completion is sent to the board directly from an approved program for the education of physician associates. The certification of completion must be signed by a designee from the approved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9536C</w:t>
      </w:r>
      <w:r>
        <w:rPr>
          <w:rFonts w:ascii="Times New Roman" w:hAnsi="Times New Roman"/>
          <w:b w:val="false"/>
          <w:i w:val="false"/>
          <w:color w:val="000000"/>
          <w:sz w:val="16"/>
        </w:rPr>
        <w:t>, IAB 9/3/25, effective 10/8/25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80.2.pdf" Type="http://schemas.openxmlformats.org/officeDocument/2006/relationships/hyperlink" Id="rId4"/>
    <Relationship TargetMode="External" Target="https://www.legis.iowa.gov/docs/iac/rule/481.780.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