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481—780.1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herein, and unless otherwise stated, the board adopts by reference the definitions found in Iowa Code section </w:t>
      </w:r>
      <w:hyperlink r:id="rId4">
        <w:r>
          <w:rPr>
            <w:rStyle w:val="Hyperlink"/>
            <w:rFonts w:ascii="Times New Roman" w:hAnsi="Times New Roman"/>
            <w:b w:val="false"/>
            <w:i w:val="false"/>
            <w:color w:val="000000"/>
            <w:sz w:val="22"/>
          </w:rPr>
          <w:t>148C.1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for the education of physician associates that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“CME”</w:t>
      </w:r>
      <w:r>
        <w:rPr>
          <w:rFonts w:ascii="Times New Roman" w:hAnsi="Times New Roman"/>
          <w:b w:val="false"/>
          <w:i w:val="false"/>
          <w:color w:val="000000"/>
          <w:sz w:val="22"/>
        </w:rPr>
        <w:t>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“Collaboration”</w:t>
      </w:r>
      <w:r>
        <w:rPr>
          <w:rFonts w:ascii="Times New Roman" w:hAnsi="Times New Roman"/>
          <w:b w:val="false"/>
          <w:i w:val="false"/>
          <w:color w:val="000000"/>
          <w:sz w:val="22"/>
        </w:rPr>
        <w:t> </w:t>
      </w:r>
      <w:r>
        <w:rPr>
          <w:rFonts w:ascii="Times New Roman" w:hAnsi="Times New Roman"/>
          <w:b w:val="false"/>
          <w:i w:val="false"/>
          <w:color w:val="000000"/>
          <w:sz w:val="22"/>
        </w:rPr>
        <w:t>means consultation with or referral to the appropriate physician or other health care professional by a physician associate as indicated by the patient’s condition; the education, competencies, and experience of the physician associate; and the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“Direction”</w:t>
      </w:r>
      <w:r>
        <w:rPr>
          <w:rFonts w:ascii="Times New Roman" w:hAnsi="Times New Roman"/>
          <w:b w:val="false"/>
          <w:i w:val="false"/>
          <w:color w:val="000000"/>
          <w:sz w:val="22"/>
        </w:rPr>
        <w:t>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by the board as 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as a physician associate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“Locum tenens”</w:t>
      </w:r>
      <w:r>
        <w:rPr>
          <w:rFonts w:ascii="Times New Roman" w:hAnsi="Times New Roman"/>
          <w:b w:val="false"/>
          <w:i w:val="false"/>
          <w:color w:val="000000"/>
          <w:sz w:val="22"/>
        </w:rPr>
        <w:t> </w:t>
      </w:r>
      <w:r>
        <w:rPr>
          <w:rFonts w:ascii="Times New Roman" w:hAnsi="Times New Roman"/>
          <w:b w:val="false"/>
          <w:i w:val="false"/>
          <w:color w:val="000000"/>
          <w:sz w:val="22"/>
        </w:rPr>
        <w:t>means the temporary substitution of one licensed physician associate for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required of physician associates who are mandatory reporters. The full requirements on mandatory reporting of child abuse and the training requirements are found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“NCCPA”</w:t>
      </w:r>
      <w:r>
        <w:rPr>
          <w:rFonts w:ascii="Times New Roman" w:hAnsi="Times New Roman"/>
          <w:b w:val="false"/>
          <w:i w:val="false"/>
          <w:color w:val="000000"/>
          <w:sz w:val="22"/>
        </w:rPr>
        <w:t>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as a physician associate under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advanced registered nurse practitioner licensed under Iowa Code chapter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or osteopathic medicine and surgery. A physician supervising a physician associate practicing in a federal facility or under federal authority will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monitoring program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“PMP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prescription monitoring program database administered by the board of pharmacy pursuant to Iowa Code chapter </w:t>
      </w:r>
      <w:hyperlink r:id="rId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subchapter VI, and </w:t>
      </w:r>
      <w:hyperlink r:id="rId10">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1">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2">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who supervises the medical services provided by the physician associate engaged in independent practice consistent with the physician associate’s education, training, or experience. Supervision shall not be construed as a requirement to be applied to those physician associates who (1) are not engaged in an independent practice arrangement, (2) have already met the requirements to practice independently, or (3) are not required by law to be supervised.  Supervision shall not be construed as requiring the personal presence of a supervising physician at the place where such services are rendered, except insofar as the personal presence is expressly required by these rules or by Iowa Code chapter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“Supply prescription drugs”</w:t>
      </w:r>
      <w:r>
        <w:rPr>
          <w:rFonts w:ascii="Times New Roman" w:hAnsi="Times New Roman"/>
          <w:b w:val="false"/>
          <w:i w:val="false"/>
          <w:color w:val="000000"/>
          <w:sz w:val="22"/>
        </w:rPr>
        <w:t>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C.1.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24.pdf" Type="http://schemas.openxmlformats.org/officeDocument/2006/relationships/hyperlink" Id="rId9"/>
    <Relationship TargetMode="External" Target="https://www.legis.iowa.gov/docs/iac/chapter/481.556.pdf" Type="http://schemas.openxmlformats.org/officeDocument/2006/relationships/hyperlink" Id="rId10"/>
    <Relationship TargetMode="External" Target="https://www.legis.iowa.gov/docs/iac/rule/481.780.9.pdf" Type="http://schemas.openxmlformats.org/officeDocument/2006/relationships/hyperlink" Id="rId11"/>
    <Relationship TargetMode="External" Target="https://www.legis.iowa.gov/docs/iac/rule/481.506.31.pdf" Type="http://schemas.openxmlformats.org/officeDocument/2006/relationships/hyperlink" Id="rId12"/>
    <Relationship TargetMode="External" Target="https://www.legis.iowa.gov/docs/ico/chapter/148C.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