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481—62.4</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criteria. </w:t>
      </w:r>
      <w:r>
        <w:rPr>
          <w:rFonts w:ascii="Times New Roman" w:hAnsi="Times New Roman"/>
          <w:b w:val="false"/>
          <w:i w:val="false"/>
          <w:color w:val="000000"/>
          <w:sz w:val="22"/>
        </w:rPr>
        <w:t>In addition to admission criteria found in 481—Chapter 57, the facility’s admission criteria shall include but not be limited to age, sex, diagnosis from the American Psychiatric Association Diagnostic and Statistical Manual of Mental Disorders, substance abuse, dual diagnosis and criteria that are consistent with the résumé of care.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