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Personnel.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personnel requirements found in 481—Chapter 57, the RCF/PMI shall provide for services of a qualified mental health professional, by direct employment or contract, whose responsibilities shall include, but not be limited to: (II, III)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Approval of each resident’s service plan; (II, III)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Monitoring the implementation of each resident’s service plan; (II, III)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Recording each resident’s progress; and (II, III)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Participating in a periodic review of each resident’s service plan. (II, III)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3739C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4/11/18, effective 5/16/18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