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relates specifically to the licensing and regulation of residential care facilities for persons with mental illness (RCFs/PMI). Refer to 481—Chapter 57 for the licensing and regulation of all residential care facilities, including RCFs/PMI, and to 481—Chapter 60 for minimum physical standards for all residential care facilities.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3739C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4/11/18, effective 5/16/18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