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481—365.6</w:t>
      </w:r>
      <w:r>
        <w:rPr>
          <w:rFonts w:ascii="Times New Roman" w:hAnsi="Times New Roman"/>
          <w:b/>
          <w:i w:val="false"/>
          <w:color w:val="000000"/>
          <w:sz w:val="22"/>
        </w:rPr>
        <w:t xml:space="preserve">(17A,89A) </w:t>
      </w:r>
      <w:r>
        <w:rPr>
          <w:rFonts w:ascii="Times New Roman" w:hAnsi="Times New Roman"/>
          <w:b/>
          <w:i w:val="false"/>
          <w:color w:val="000000"/>
          <w:sz w:val="22"/>
        </w:rPr>
        <w:t xml:space="preserve">Procedures for contested cases in addition to 7—Chapter 2506.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inspection report. </w:t>
      </w:r>
      <w:r>
        <w:rPr>
          <w:rFonts w:ascii="Times New Roman" w:hAnsi="Times New Roman"/>
          <w:b w:val="false"/>
          <w:i w:val="false"/>
          <w:color w:val="000000"/>
          <w:sz w:val="22"/>
        </w:rPr>
        <w:t>The owner or operator of a piece of equipment subject to a written inspection report may petition the director for reconsideration of the report within 30 days of the issuance of the report. Failure to seek timely reconsideration of the inspection report is a waiver of all appeal rights. The burden of demonstrating compliance with all applicable statutory provisions, administrative rules, and codes adopted by reference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shall be in writing and must be signed by the requesting party or a representative of that party. The required form for a petition for reconsideration is available on the board’s website. A petition for reconsideration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The petitioning party shall also include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 consider any request for waiver of an administrative rule made as part of a petition for reconsideration. Requests for waivers of administrative rules may only be made to the board pursuant to the provisions of </w:t>
      </w:r>
      <w:hyperlink r:id="rId4">
        <w:r>
          <w:rPr>
            <w:rStyle w:val="Hyperlink"/>
            <w:rFonts w:ascii="Times New Roman" w:hAnsi="Times New Roman"/>
            <w:b w:val="false"/>
            <w:i w:val="false"/>
            <w:color w:val="000000"/>
            <w:sz w:val="22"/>
          </w:rPr>
          <w:t>481—Chapter 365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shall be deemed denied and the challenged inspection report affirmed 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365.6(2)</w:t>
      </w:r>
      <w:r>
        <w:rPr>
          <w:rFonts w:ascii="Times New Roman" w:hAnsi="Times New Roman"/>
          <w:b w:val="false"/>
          <w:i w:val="false"/>
          <w:color w:val="000000"/>
          <w:sz w:val="22"/>
        </w:rPr>
        <w:t> </w:t>
      </w:r>
      <w:r>
        <w:rPr>
          <w:rFonts w:ascii="Times New Roman" w:hAnsi="Times New Roman"/>
          <w:b w:val="false"/>
          <w:i/>
          <w:color w:val="000000"/>
          <w:sz w:val="22"/>
        </w:rPr>
        <w:t xml:space="preserve">Appeal to the board. </w:t>
      </w:r>
      <w:r>
        <w:rPr>
          <w:rFonts w:ascii="Times New Roman" w:hAnsi="Times New Roman"/>
          <w:b w:val="false"/>
          <w:i w:val="false"/>
          <w:color w:val="000000"/>
          <w:sz w:val="22"/>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director has an automatic right of intervention in any appeal of the ruling on petition for reconsideration and may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365.6(3)</w:t>
      </w:r>
      <w:r>
        <w:rPr>
          <w:rFonts w:ascii="Times New Roman" w:hAnsi="Times New Roman"/>
          <w:b w:val="false"/>
          <w:i w:val="false"/>
          <w:color w:val="000000"/>
          <w:sz w:val="22"/>
        </w:rPr>
        <w:t> </w:t>
      </w:r>
      <w:r>
        <w:rPr>
          <w:rFonts w:ascii="Times New Roman" w:hAnsi="Times New Roman"/>
          <w:b w:val="false"/>
          <w:i/>
          <w:color w:val="000000"/>
          <w:sz w:val="22"/>
        </w:rPr>
        <w:t xml:space="preserve">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decision-making, a party who elects an informal review under this rule waives the party’s right to seek disqualification of a board member as a presiding officer in a later contested case proceeding based on the board member’s participation in the informal review. Parties would not be waiving their right to seek disqualification on any other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the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transmitted to the board. 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365.6(4)</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all contested cases is the board, a panel of board members, or an administrative law judge assigned by the department of inspections, appeals, and licensing. When board members act as presiding officer, the board members shall conduct the hearing and issue either a final decision or, if a quorum of the board is not present, a proposed decision.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rulings by an administrative law judge who acts either as presiding officer or assistant to the board are subject to appeal to the board. A party must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365.6(5)</w:t>
      </w:r>
      <w:r>
        <w:rPr>
          <w:rFonts w:ascii="Times New Roman" w:hAnsi="Times New Roman"/>
          <w:b w:val="false"/>
          <w:i w:val="false"/>
          <w:color w:val="000000"/>
          <w:sz w:val="22"/>
        </w:rPr>
        <w:t> </w:t>
      </w:r>
      <w:r>
        <w:rPr>
          <w:rFonts w:ascii="Times New Roman" w:hAnsi="Times New Roman"/>
          <w:b w:val="false"/>
          <w:i/>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365.6(6)</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0372D</w:t>
      </w:r>
      <w:r>
        <w:rPr>
          <w:rFonts w:ascii="Times New Roman" w:hAnsi="Times New Roman"/>
          <w:b w:val="false"/>
          <w:i w:val="false"/>
          <w:color w:val="000000"/>
          <w:sz w:val="16"/>
        </w:rPr>
        <w:t>, IAB 6/24/26, effective 5/29/26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365.pdf" Type="http://schemas.openxmlformats.org/officeDocument/2006/relationships/hyperlink" Id="rId4"/>
    <Relationship TargetMode="External" Target="https://www.legis.iowa.gov/docs/ico/chapter/17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