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481—365.5</w:t>
      </w:r>
      <w:r>
        <w:rPr>
          <w:rFonts w:ascii="Times New Roman" w:hAnsi="Times New Roman"/>
          <w:b/>
          <w:i w:val="false"/>
          <w:color w:val="000000"/>
          <w:sz w:val="22"/>
        </w:rPr>
        <w:t xml:space="preserve">(17A,89A) </w:t>
      </w:r>
      <w:r>
        <w:rPr>
          <w:rFonts w:ascii="Times New Roman" w:hAnsi="Times New Roman"/>
          <w:b/>
          <w:i w:val="false"/>
          <w:color w:val="000000"/>
          <w:sz w:val="22"/>
        </w:rPr>
        <w:t xml:space="preserve">Procedures for waivers in addition to 7—Chapter 2504.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365.5(1)</w:t>
      </w:r>
      <w:r>
        <w:rPr>
          <w:rFonts w:ascii="Times New Roman" w:hAnsi="Times New Roman"/>
          <w:b w:val="false"/>
          <w:i w:val="false"/>
          <w:color w:val="000000"/>
          <w:sz w:val="22"/>
        </w:rPr>
        <w:t> </w:t>
      </w:r>
      <w:r>
        <w:rPr>
          <w:rFonts w:ascii="Times New Roman" w:hAnsi="Times New Roman"/>
          <w:b w:val="false"/>
          <w:i/>
          <w:color w:val="000000"/>
          <w:sz w:val="22"/>
        </w:rPr>
        <w:t xml:space="preserve">Filing petition. </w:t>
      </w:r>
      <w:r>
        <w:rPr>
          <w:rFonts w:ascii="Times New Roman" w:hAnsi="Times New Roman"/>
          <w:b w:val="false"/>
          <w:i w:val="false"/>
          <w:color w:val="000000"/>
          <w:sz w:val="22"/>
        </w:rPr>
        <w:t>A petition is deemed filed when it is received in the board’s office. The petition shall include the state identification number of the conveyance and the age of the conveyance. A petition should be sent to the Elevator Safety Board, Department of Inspections, Appeals, and Licensing, 6200 Park Avenue, Suite 100, Des Moines, Iowa 50321. The petitioner shall submit the petition and all related materials for consideration at least three weeks prior to a scheduled board meeting for board review of the petition at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365.5(2)</w:t>
      </w:r>
      <w:r>
        <w:rPr>
          <w:rFonts w:ascii="Times New Roman" w:hAnsi="Times New Roman"/>
          <w:b w:val="false"/>
          <w:i w:val="false"/>
          <w:color w:val="000000"/>
          <w:sz w:val="22"/>
        </w:rPr>
        <w:t> </w:t>
      </w:r>
      <w:r>
        <w:rPr>
          <w:rFonts w:ascii="Times New Roman" w:hAnsi="Times New Roman"/>
          <w:b w:val="false"/>
          <w:i/>
          <w:color w:val="000000"/>
          <w:sz w:val="22"/>
        </w:rPr>
        <w:t xml:space="preserve">Waiver form. </w:t>
      </w:r>
      <w:r>
        <w:rPr>
          <w:rFonts w:ascii="Times New Roman" w:hAnsi="Times New Roman"/>
          <w:b w:val="false"/>
          <w:i w:val="false"/>
          <w:color w:val="000000"/>
          <w:sz w:val="22"/>
        </w:rPr>
        <w:t>Waiver applicants shall use the board’s petition for waiver form. The board may request additional information from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365.5(3)</w:t>
      </w:r>
      <w:r>
        <w:rPr>
          <w:rFonts w:ascii="Times New Roman" w:hAnsi="Times New Roman"/>
          <w:b w:val="false"/>
          <w:i w:val="false"/>
          <w:color w:val="000000"/>
          <w:sz w:val="22"/>
        </w:rPr>
        <w:t> </w:t>
      </w:r>
      <w:r>
        <w:rPr>
          <w:rFonts w:ascii="Times New Roman" w:hAnsi="Times New Roman"/>
          <w:b w:val="false"/>
          <w:i/>
          <w:color w:val="000000"/>
          <w:sz w:val="22"/>
        </w:rPr>
        <w:t xml:space="preserve">Posting of orders granting waivers. </w:t>
      </w:r>
      <w:r>
        <w:rPr>
          <w:rFonts w:ascii="Times New Roman" w:hAnsi="Times New Roman"/>
          <w:b w:val="false"/>
          <w:i w:val="false"/>
          <w:color w:val="000000"/>
          <w:sz w:val="22"/>
        </w:rPr>
        <w:t>The order or a copy of the order granting a waiver shall be conspicuously and permanently posted in the machine room corresponding to the conveyance. The order or a copy of the order granting a waiver that relates to a conveyance that does not have a machine room shall be posted in a protective sleeve attached to the inside of the controller cabinet door corresponding to the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365.5(4)</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Violation of a condition in a waiver order will be treated as a violation of the particular rule for which the waiver was granted. As a result, the recipient of a waiver under this rule who violates a condition of the waiver may be subject to the same remedies or penalties as a person who violates the rule at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0372D</w:t>
      </w:r>
      <w:r>
        <w:rPr>
          <w:rFonts w:ascii="Times New Roman" w:hAnsi="Times New Roman"/>
          <w:b w:val="false"/>
          <w:i w:val="false"/>
          <w:color w:val="000000"/>
          <w:sz w:val="16"/>
        </w:rPr>
        <w:t>, IAB 6/24/26, effective 5/29/26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