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481—2031.9</w:t>
      </w:r>
      <w:r>
        <w:rPr>
          <w:rFonts w:ascii="Times New Roman" w:hAnsi="Times New Roman"/>
          <w:b/>
          <w:i w:val="false"/>
          <w:color w:val="000000"/>
          <w:sz w:val="22"/>
        </w:rPr>
        <w:t xml:space="preserve">(543D) </w:t>
      </w:r>
      <w:r>
        <w:rPr>
          <w:rFonts w:ascii="Times New Roman" w:hAnsi="Times New Roman"/>
          <w:b/>
          <w:i w:val="false"/>
          <w:color w:val="000000"/>
          <w:sz w:val="22"/>
        </w:rPr>
        <w:t xml:space="preserve">Qualified state appraiser certifying agency.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2031.9(1)</w:t>
      </w:r>
      <w:r>
        <w:rPr>
          <w:rFonts w:ascii="Times New Roman" w:hAnsi="Times New Roman"/>
          <w:b w:val="false"/>
          <w:i w:val="false"/>
          <w:color w:val="000000"/>
          <w:sz w:val="22"/>
        </w:rPr>
        <w:t> </w:t>
      </w:r>
      <w:r>
        <w:rPr>
          <w:rFonts w:ascii="Times New Roman" w:hAnsi="Times New Roman"/>
          <w:b w:val="false"/>
          <w:i w:val="false"/>
          <w:color w:val="000000"/>
          <w:sz w:val="22"/>
        </w:rPr>
        <w:t>The real estate appraiser examining board is a state appraiser certifying agency in compliance with Title XI of the Financial Institutions Reform, Recovery, and Enforcement Act of 1989 (FIRREA). As a result, persons who are issued certificates by the board to practice as certified real estate appraisers are authorized under federal law to perform appraisal services for federally related transactions and are identified as such in the National Registry maintained by the Appraisal Subcommittee (ASC).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2031.9(2)</w:t>
      </w:r>
      <w:r>
        <w:rPr>
          <w:rFonts w:ascii="Times New Roman" w:hAnsi="Times New Roman"/>
          <w:b w:val="false"/>
          <w:i w:val="false"/>
          <w:color w:val="000000"/>
          <w:sz w:val="22"/>
        </w:rPr>
        <w:t> </w:t>
      </w:r>
      <w:r>
        <w:rPr>
          <w:rFonts w:ascii="Times New Roman" w:hAnsi="Times New Roman"/>
          <w:b w:val="false"/>
          <w:i w:val="false"/>
          <w:color w:val="000000"/>
          <w:sz w:val="22"/>
        </w:rPr>
        <w:t xml:space="preserve">The board will adhere to the criteria established by the Appraiser Qualifications Board (AQB) of the Appraisal Foundation when registering associate appraisers or certifying certified appraisers under Iowa Code chapter </w:t>
      </w:r>
      <w:hyperlink r:id="rId4">
        <w:r>
          <w:rPr>
            <w:rStyle w:val="Hyperlink"/>
            <w:rFonts w:ascii="Times New Roman" w:hAnsi="Times New Roman"/>
            <w:b w:val="false"/>
            <w:i w:val="false"/>
            <w:color w:val="000000"/>
            <w:sz w:val="22"/>
          </w:rPr>
          <w:t>543D</w:t>
        </w:r>
      </w:hyperlink>
      <w:r>
        <w:rPr>
          <w:rFonts w:ascii="Times New Roman" w:hAnsi="Times New Roman"/>
          <w:b w:val="false"/>
          <w:i w:val="false"/>
          <w:color w:val="000000"/>
          <w:sz w:val="22"/>
        </w:rPr>
        <w:t>. To the extent that the rules conflict with the minimum obligations outlined in the current version of the AQB criteria, the minimum standards established in the criteria will apply and these rules will give way to the minimum obligations to comply with federal rule, law, or policy.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7837C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sectPr>
      <w:footerReference r:id="rId5"/>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543D.pdf" Type="http://schemas.openxmlformats.org/officeDocument/2006/relationships/hyperlink" Id="rId4"/>
    <Relationship Target="footer.xml" Type="http://schemas.openxmlformats.org/officeDocument/2006/relationships/footer" Id="rId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