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authorized to adopt, amend or repeal its administrative rules in accordance with the provisions of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Prior to the adoption, amendment or repeal of any rule of the board, any interested person, as described in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submit any data, views, or arguments in writing concerning such rule or may request to make an oral presentation concerning such rule. Such written comments or requests to make oral presentations are to be filed with the board at its official address and should clearly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agency authoring the comment or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title of the proposed rule, which is the subject of the comment or request as given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general content of the oral presentation. A separate comment or request to make an oral presentation will be made for each proposed rule to which remarks are to be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2031.7(2)</w:t>
      </w:r>
      <w:r>
        <w:rPr>
          <w:rFonts w:ascii="Times New Roman" w:hAnsi="Times New Roman"/>
          <w:b w:val="false"/>
          <w:i w:val="false"/>
          <w:color w:val="000000"/>
          <w:sz w:val="22"/>
        </w:rPr>
        <w:t> </w:t>
      </w:r>
      <w:r>
        <w:rPr>
          <w:rFonts w:ascii="Times New Roman" w:hAnsi="Times New Roman"/>
          <w:b w:val="false"/>
          <w:i w:val="false"/>
          <w:color w:val="000000"/>
          <w:sz w:val="22"/>
        </w:rPr>
        <w:t>The board will acknowledge receipt and acceptance for consideration of written comments and requests to make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2031.7(3)</w:t>
      </w:r>
      <w:r>
        <w:rPr>
          <w:rFonts w:ascii="Times New Roman" w:hAnsi="Times New Roman"/>
          <w:b w:val="false"/>
          <w:i w:val="false"/>
          <w:color w:val="000000"/>
          <w:sz w:val="22"/>
        </w:rPr>
        <w:t> </w:t>
      </w:r>
      <w:r>
        <w:rPr>
          <w:rFonts w:ascii="Times New Roman" w:hAnsi="Times New Roman"/>
          <w:b w:val="false"/>
          <w:i w:val="false"/>
          <w:color w:val="000000"/>
          <w:sz w:val="22"/>
        </w:rPr>
        <w:t>Written comments received after the deadline set forth in the Notice of Intended Action may be accepted by the board although their consideration is not assured. Requests to make an oral presentation received after the deadline will not be accepted and will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