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481—2031.6</w:t>
      </w:r>
      <w:r>
        <w:rPr>
          <w:rFonts w:ascii="Times New Roman" w:hAnsi="Times New Roman"/>
          <w:b/>
          <w:i w:val="false"/>
          <w:color w:val="000000"/>
          <w:sz w:val="22"/>
        </w:rPr>
        <w:t xml:space="preserve">(543D) </w:t>
      </w:r>
      <w:r>
        <w:rPr>
          <w:rFonts w:ascii="Times New Roman" w:hAnsi="Times New Roman"/>
          <w:b/>
          <w:i w:val="false"/>
          <w:color w:val="000000"/>
          <w:sz w:val="22"/>
        </w:rPr>
        <w:t xml:space="preserve">Records, filings, and requests for public information. </w:t>
      </w:r>
      <w:r>
        <w:rPr>
          <w:rFonts w:ascii="Times New Roman" w:hAnsi="Times New Roman"/>
          <w:b w:val="false"/>
          <w:i w:val="false"/>
          <w:color w:val="000000"/>
          <w:sz w:val="22"/>
        </w:rPr>
        <w:t>Unless otherwise specified by the rules of the department of inspections, appeals, and licensing, the board is the principal custodian of its own agency orders, statements of law or policy issued by the board, legal documents, and other public documents on file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2031.6(1)</w:t>
      </w:r>
      <w:r>
        <w:rPr>
          <w:rFonts w:ascii="Times New Roman" w:hAnsi="Times New Roman"/>
          <w:b w:val="false"/>
          <w:i w:val="false"/>
          <w:color w:val="000000"/>
          <w:sz w:val="22"/>
        </w:rPr>
        <w:t> </w:t>
      </w:r>
      <w:r>
        <w:rPr>
          <w:rFonts w:ascii="Times New Roman" w:hAnsi="Times New Roman"/>
          <w:b w:val="false"/>
          <w:i w:val="false"/>
          <w:color w:val="000000"/>
          <w:sz w:val="22"/>
        </w:rPr>
        <w:t>Any person may examine public records promulgated or maintained by the board at its office during regular business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2031.6(2)</w:t>
      </w:r>
      <w:r>
        <w:rPr>
          <w:rFonts w:ascii="Times New Roman" w:hAnsi="Times New Roman"/>
          <w:b w:val="false"/>
          <w:i w:val="false"/>
          <w:color w:val="000000"/>
          <w:sz w:val="22"/>
        </w:rPr>
        <w:t> </w:t>
      </w:r>
      <w:r>
        <w:rPr>
          <w:rFonts w:ascii="Times New Roman" w:hAnsi="Times New Roman"/>
          <w:b w:val="false"/>
          <w:i w:val="false"/>
          <w:color w:val="000000"/>
          <w:sz w:val="22"/>
        </w:rPr>
        <w:t>Deadlines. Unless the context dictates otherwise, such as is the case for timely renewal of a registration or certificate, any deadline for filing a document will be extended to the next working day when the deadline falls on a Saturday, Sunday, or official state holiday.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