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481—2031.3</w:t>
      </w:r>
      <w:r>
        <w:rPr>
          <w:rFonts w:ascii="Times New Roman" w:hAnsi="Times New Roman"/>
          <w:b/>
          <w:i w:val="false"/>
          <w:color w:val="000000"/>
          <w:sz w:val="22"/>
        </w:rPr>
        <w:t xml:space="preserve">(543D) </w:t>
      </w:r>
      <w:r>
        <w:rPr>
          <w:rFonts w:ascii="Times New Roman" w:hAnsi="Times New Roman"/>
          <w:b/>
          <w:i w:val="false"/>
          <w:color w:val="000000"/>
          <w:sz w:val="22"/>
        </w:rPr>
        <w:t xml:space="preserve">Annual meeting. </w:t>
      </w:r>
      <w:r>
        <w:rPr>
          <w:rFonts w:ascii="Times New Roman" w:hAnsi="Times New Roman"/>
          <w:b w:val="false"/>
          <w:i w:val="false"/>
          <w:color w:val="000000"/>
          <w:sz w:val="22"/>
        </w:rPr>
        <w:t>The annual meeting of the board will be the first meeting scheduled after April 30. At this time, the chairperson and vice chairperson are elected to serve until their successors are elected.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