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481—2031.2</w:t>
      </w:r>
      <w:r>
        <w:rPr>
          <w:rFonts w:ascii="Times New Roman" w:hAnsi="Times New Roman"/>
          <w:b/>
          <w:i w:val="false"/>
          <w:color w:val="000000"/>
          <w:sz w:val="22"/>
        </w:rPr>
        <w:t xml:space="preserve">(543D) </w:t>
      </w:r>
      <w:r>
        <w:rPr>
          <w:rFonts w:ascii="Times New Roman" w:hAnsi="Times New Roman"/>
          <w:b/>
          <w:i w:val="false"/>
          <w:color w:val="000000"/>
          <w:sz w:val="22"/>
        </w:rPr>
        <w:t xml:space="preserve">Administrative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is vested with authority to review, approve, modify, or reject all board action pursuant to Iowa Code chapter </w:t>
      </w:r>
      <w:hyperlink r:id="rId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director may exercise all authority conferred upon the board and has to have access to all records and information to which the board has access. In supervising the board, the director will independently evaluate the substantive merits of recommended or proposed board actions which may be anticompetitive.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performing its duties and in exercising its authority under 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may take action without preclearance by the director if the action is ministerial or nondiscretionary. As used in this chapter, the words “ministerial or nondiscretionary” include any action expressly mandated by state or federal law, rule, or regulation; by the AQB; or by the appraisal subcommittee. The board may, for example, grant or deny an application for initial or reciprocal certification as a real estate appraiser, an application for registration as an associate real estate appraiser, or an application for a temporary practice permit by an out-of-state appraiser, on any ground expressly mandated by state or federal law, rule, or regulation; by the AQB; or by the appraisal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discretionary action under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will secure approval of the director if the proposed action is or may be anticompetitive. As used in this chapter, the word “discretionary” includes any action that is authorized but not expressly imposed by state or federal law, rule, or regulation; by the AQB; or by the appraisal subcommittee. Examples of discretionary action include orders in response to petitions for rulemaking, declaratory orders, or waivers from rules, rulemaking, disciplinary proceedings against licensees, administrative proceedings against unlicensed persons, or any action commenced in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2031.2(4)</w:t>
      </w:r>
      <w:r>
        <w:rPr>
          <w:rFonts w:ascii="Times New Roman" w:hAnsi="Times New Roman"/>
          <w:b w:val="false"/>
          <w:i w:val="false"/>
          <w:color w:val="000000"/>
          <w:sz w:val="22"/>
        </w:rPr>
        <w:t> </w:t>
      </w:r>
      <w:r>
        <w:rPr>
          <w:rFonts w:ascii="Times New Roman" w:hAnsi="Times New Roman"/>
          <w:b w:val="false"/>
          <w:i w:val="false"/>
          <w:color w:val="000000"/>
          <w:sz w:val="22"/>
        </w:rPr>
        <w:t>Determining whether any particular action is or may be anticompetitive is necessarily a fact-based inquiry dependent on a number of factors, including potential impact on the market or restraint of trade. With respect to disciplinary actions, for instance, a proceeding against a single licensee for violating appraisal standards would not have an impact on the broader market and would accordingly not be an anticompetitive action. Commencement of disciplinary proceedings which affect all or a substantial subset of appraisers may have a significant market impact. When in doubt as to whether a proposed discretionary action is or may be anticompetitive, the board may submit the proposed action to the director for preclearance.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any final action of the board taken under Iowa Code chapter </w:t>
      </w:r>
      <w:hyperlink r:id="rId7">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may appeal that action to the director within 20 days of the date the board issues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process applies whether the board action at issue was ministerial or nondiscretionary, or discretionary, and whether the proposed action was or was not submitted through a preclearance process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aggrieved by a final action of the board may seek judicial review of that action without first appealing the action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filings, and requests for public information. Final board action, regardless of whether such board action is ministerial, nondiscretionary, or discretionary, will be immediately effective when issued by the board but is subject to review or appeal to the director. If a timely review is initiated or a timely appeal is taken, the effectiveness of such final board action will be delayed during the pendency of such review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