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481—2031.1</w:t>
      </w:r>
      <w:r>
        <w:rPr>
          <w:rFonts w:ascii="Times New Roman" w:hAnsi="Times New Roman"/>
          <w:b/>
          <w:i w:val="false"/>
          <w:color w:val="000000"/>
          <w:sz w:val="22"/>
        </w:rPr>
        <w:t xml:space="preserve">(543D)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real estate appraiser examining board is to administer and enforce the provisions of Iowa Code chapter </w:t>
      </w:r>
      <w:hyperlink r:id="rId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with regard to the appraisal of real property in the state of Iowa, examination of candidates, issuance of licenses, investigation of alleged violations by licensees, and discipline of those regulated by the board. Through its actions, the board seeks to promote and maintain a high level of public trust in professional appraisal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2031.1(2)</w:t>
      </w:r>
      <w:r>
        <w:rPr>
          <w:rFonts w:ascii="Times New Roman" w:hAnsi="Times New Roman"/>
          <w:b w:val="false"/>
          <w:i w:val="false"/>
          <w:color w:val="000000"/>
          <w:sz w:val="22"/>
        </w:rPr>
        <w:t> </w:t>
      </w:r>
      <w:r>
        <w:rPr>
          <w:rFonts w:ascii="Times New Roman" w:hAnsi="Times New Roman"/>
          <w:b w:val="false"/>
          <w:i w:val="false"/>
          <w:color w:val="000000"/>
          <w:sz w:val="22"/>
        </w:rPr>
        <w:t>The board maintains an office at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action under Iowa Code chapter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will be taken under the supervision of the director, as provided in Iowa Code section </w:t>
      </w:r>
      <w:hyperlink r:id="rId6">
        <w:r>
          <w:rPr>
            <w:rStyle w:val="Hyperlink"/>
            <w:rFonts w:ascii="Times New Roman" w:hAnsi="Times New Roman"/>
            <w:b w:val="false"/>
            <w:i w:val="false"/>
            <w:color w:val="000000"/>
            <w:sz w:val="22"/>
          </w:rPr>
          <w:t>543D.23</w:t>
        </w:r>
      </w:hyperlink>
      <w:r>
        <w:rPr>
          <w:rFonts w:ascii="Times New Roman" w:hAnsi="Times New Roman"/>
          <w:b w:val="false"/>
          <w:i w:val="false"/>
          <w:color w:val="000000"/>
          <w:sz w:val="22"/>
        </w:rPr>
        <w:t xml:space="preserve"> and these implementing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D.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543D.2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