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481—2001.4</w:t>
      </w:r>
      <w:r>
        <w:rPr>
          <w:rFonts w:ascii="Times New Roman" w:hAnsi="Times New Roman"/>
          <w:b/>
          <w:i w:val="false"/>
          <w:color w:val="000000"/>
          <w:sz w:val="22"/>
        </w:rPr>
        <w:t xml:space="preserve">(543B) </w:t>
      </w:r>
      <w:r>
        <w:rPr>
          <w:rFonts w:ascii="Times New Roman" w:hAnsi="Times New Roman"/>
          <w:b/>
          <w:i w:val="false"/>
          <w:color w:val="000000"/>
          <w:sz w:val="22"/>
        </w:rPr>
        <w:t xml:space="preserve">Custodian of records, filings, and requests for public information. </w:t>
      </w:r>
      <w:r>
        <w:rPr>
          <w:rFonts w:ascii="Times New Roman" w:hAnsi="Times New Roman"/>
          <w:b w:val="false"/>
          <w:i w:val="false"/>
          <w:color w:val="000000"/>
          <w:sz w:val="22"/>
        </w:rPr>
        <w:t>Unless otherwise specified by the rules of the department of inspections, appeals, and licensing or the professional licensing and regulation division, the commission is the principal custodian of its own agency orders, statements of law or policy issued by the commission, legal documents, and other public documents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2001.4(1)</w:t>
      </w:r>
      <w:r>
        <w:rPr>
          <w:rFonts w:ascii="Times New Roman" w:hAnsi="Times New Roman"/>
          <w:b w:val="false"/>
          <w:i w:val="false"/>
          <w:color w:val="000000"/>
          <w:sz w:val="22"/>
        </w:rPr>
        <w:t> </w:t>
      </w:r>
      <w:r>
        <w:rPr>
          <w:rFonts w:ascii="Times New Roman" w:hAnsi="Times New Roman"/>
          <w:b w:val="false"/>
          <w:i w:val="false"/>
          <w:color w:val="000000"/>
          <w:sz w:val="22"/>
        </w:rPr>
        <w:t>Any person may examine public records promulgated or maintained by the commission at its office during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2001.4(2)</w:t>
      </w:r>
      <w:r>
        <w:rPr>
          <w:rFonts w:ascii="Times New Roman" w:hAnsi="Times New Roman"/>
          <w:b w:val="false"/>
          <w:i w:val="false"/>
          <w:color w:val="000000"/>
          <w:sz w:val="22"/>
        </w:rPr>
        <w:t> </w:t>
      </w:r>
      <w:r>
        <w:rPr>
          <w:rFonts w:ascii="Times New Roman" w:hAnsi="Times New Roman"/>
          <w:b w:val="false"/>
          <w:i w:val="false"/>
          <w:color w:val="000000"/>
          <w:sz w:val="22"/>
        </w:rPr>
        <w:t>Records, documents and other information may be gathered, stored, and available in electronic format. Information, various forms, documents, and the license law and rules may be reviewed or obtained at any time by the public from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2001.4(3)</w:t>
      </w:r>
      <w:r>
        <w:rPr>
          <w:rFonts w:ascii="Times New Roman" w:hAnsi="Times New Roman"/>
          <w:b w:val="false"/>
          <w:i w:val="false"/>
          <w:color w:val="000000"/>
          <w:sz w:val="22"/>
        </w:rPr>
        <w:t> </w:t>
      </w:r>
      <w:r>
        <w:rPr>
          <w:rFonts w:ascii="Times New Roman" w:hAnsi="Times New Roman"/>
          <w:b w:val="false"/>
          <w:i w:val="false"/>
          <w:color w:val="000000"/>
          <w:sz w:val="22"/>
        </w:rPr>
        <w:t>Deadlines. Unless the context dictates otherwise, any deadline for filing a document that falls on a Saturday, Sunday, or official state holiday will be extended to the next working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