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rrespondence and commun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rrespondence and communications with the commission should be addressed or directed to the commission offi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