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481—2001.1</w:t>
      </w:r>
      <w:r>
        <w:rPr>
          <w:rFonts w:ascii="Times New Roman" w:hAnsi="Times New Roman"/>
          <w:b/>
          <w:i w:val="false"/>
          <w:color w:val="000000"/>
          <w:sz w:val="22"/>
        </w:rPr>
        <w:t xml:space="preserve">(543B) </w:t>
      </w:r>
      <w:r>
        <w:rPr>
          <w:rFonts w:ascii="Times New Roman" w:hAnsi="Times New Roman"/>
          <w:b/>
          <w:i w:val="false"/>
          <w:color w:val="000000"/>
          <w:sz w:val="22"/>
        </w:rPr>
        <w:t xml:space="preserve">Mission of the commission. </w:t>
      </w:r>
      <w:r>
        <w:rPr>
          <w:rFonts w:ascii="Times New Roman" w:hAnsi="Times New Roman"/>
          <w:b w:val="false"/>
          <w:i w:val="false"/>
          <w:color w:val="000000"/>
          <w:sz w:val="22"/>
        </w:rPr>
        <w:t xml:space="preserve">The mission of the Iowa real estate commission is to protect the public through the examination, licensing, and regulation of real estate brokers, salespersons, and firms pursuant to Iowa Code chapter </w:t>
      </w:r>
      <w:hyperlink r:id="rId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Real Estate Brokers and Salespersons; to administer Iowa Code chapter </w:t>
      </w:r>
      <w:hyperlink r:id="rId5">
        <w:r>
          <w:rPr>
            <w:rStyle w:val="Hyperlink"/>
            <w:rFonts w:ascii="Times New Roman" w:hAnsi="Times New Roman"/>
            <w:b w:val="false"/>
            <w:i w:val="false"/>
            <w:color w:val="000000"/>
            <w:sz w:val="22"/>
          </w:rPr>
          <w:t>543C</w:t>
        </w:r>
      </w:hyperlink>
      <w:r>
        <w:rPr>
          <w:rFonts w:ascii="Times New Roman" w:hAnsi="Times New Roman"/>
          <w:b w:val="false"/>
          <w:i w:val="false"/>
          <w:color w:val="000000"/>
          <w:sz w:val="22"/>
        </w:rPr>
        <w:t xml:space="preserve">, Sales of Subdivided Land Outside of Iowa; and to administer Iowa Code chapter </w:t>
      </w:r>
      <w:hyperlink r:id="rId6">
        <w:r>
          <w:rPr>
            <w:rStyle w:val="Hyperlink"/>
            <w:rFonts w:ascii="Times New Roman" w:hAnsi="Times New Roman"/>
            <w:b w:val="false"/>
            <w:i w:val="false"/>
            <w:color w:val="000000"/>
            <w:sz w:val="22"/>
          </w:rPr>
          <w:t>557A</w:t>
        </w:r>
      </w:hyperlink>
      <w:r>
        <w:rPr>
          <w:rFonts w:ascii="Times New Roman" w:hAnsi="Times New Roman"/>
          <w:b w:val="false"/>
          <w:i w:val="false"/>
          <w:color w:val="000000"/>
          <w:sz w:val="22"/>
        </w:rPr>
        <w:t>, Time-Shares.</w:t>
      </w:r>
    </w:p>
    <w:p>
      <w:pPr>
        <w:spacing w:before="0" w:after="0"/>
        <w:ind w:left="120"/>
        <w:jc w:val="both"/>
      </w:pPr>
      <w:r>
        <w:rPr>
          <w:rFonts w:ascii="Times New Roman" w:hAnsi="Times New Roman"/>
          <w:b w:val="false"/>
          <w:i w:val="false"/>
          <w:color w:val="000000"/>
          <w:sz w:val="22"/>
        </w:rPr>
        <w:t xml:space="preserve">The commission is a policymaking body with authority to promulgate rules for the regulation of the real estate industry consistent with all applicable statutes. Administrative support services are furnished by the professional licensing and regulation division of the department of inspections, appeals, and licensing. The commission or duly authorized representative may inspect subdivided land outside of Iowa pursuant to Iowa Code section </w:t>
      </w:r>
      <w:hyperlink r:id="rId7">
        <w:r>
          <w:rPr>
            <w:rStyle w:val="Hyperlink"/>
            <w:rFonts w:ascii="Times New Roman" w:hAnsi="Times New Roman"/>
            <w:b w:val="false"/>
            <w:i w:val="false"/>
            <w:color w:val="000000"/>
            <w:sz w:val="22"/>
          </w:rPr>
          <w:t>543C.4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pdf" Type="http://schemas.openxmlformats.org/officeDocument/2006/relationships/hyperlink" Id="rId4"/>
    <Relationship TargetMode="External" Target="https://www.legis.iowa.gov/docs/ico/chapter/543C.pdf" Type="http://schemas.openxmlformats.org/officeDocument/2006/relationships/hyperlink" Id="rId5"/>
    <Relationship TargetMode="External" Target="https://www.legis.iowa.gov/docs/ico/chapter/557A.pdf" Type="http://schemas.openxmlformats.org/officeDocument/2006/relationships/hyperlink" Id="rId6"/>
    <Relationship TargetMode="External" Target="https://www.legis.iowa.gov/docs/ico/chapter/543C.4.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