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481—1081.5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Interim waivers. </w:t>
      </w:r>
      <w:r>
        <w:rPr>
          <w:rFonts w:ascii="Times New Roman" w:hAnsi="Times New Roman"/>
          <w:b w:val="false"/>
          <w:i w:val="false"/>
          <w:color w:val="000000"/>
          <w:sz w:val="22"/>
        </w:rPr>
        <w:t xml:space="preserve">In addition to the provisions of </w:t>
      </w:r>
      <w:hyperlink r:id="rId4">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the following will apply for interim rulings: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1081.5(1)</w:t>
      </w:r>
      <w:r>
        <w:rPr>
          <w:rFonts w:ascii="Times New Roman" w:hAnsi="Times New Roman"/>
          <w:b w:val="false"/>
          <w:i w:val="false"/>
          <w:color w:val="000000"/>
          <w:sz w:val="22"/>
        </w:rPr>
        <w:t> </w:t>
      </w:r>
      <w:r>
        <w:rPr>
          <w:rFonts w:ascii="Times New Roman" w:hAnsi="Times New Roman"/>
          <w:b w:val="false"/>
          <w:i w:val="false"/>
          <w:color w:val="000000"/>
          <w:sz w:val="22"/>
        </w:rPr>
        <w:t>The board chairperson, or vice chairperson if the chairperson is not available, may rule on a petition for waiver when it would not be timely to wait for the next regularly scheduled board meeting for a ruling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administrator, upon receipt of a petition that meets all applicable criteria established in </w:t>
      </w:r>
      <w:hyperlink r:id="rId5">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will present the request to the board chairperson or vice chairperson along with all pertinent information regarding established precedent for granting or denying such requests.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1081.5(3)</w:t>
      </w:r>
      <w:r>
        <w:rPr>
          <w:rFonts w:ascii="Times New Roman" w:hAnsi="Times New Roman"/>
          <w:b w:val="false"/>
          <w:i w:val="false"/>
          <w:color w:val="000000"/>
          <w:sz w:val="22"/>
        </w:rPr>
        <w:t> </w:t>
      </w:r>
      <w:r>
        <w:rPr>
          <w:rFonts w:ascii="Times New Roman" w:hAnsi="Times New Roman"/>
          <w:b w:val="false"/>
          <w:i w:val="false"/>
          <w:color w:val="000000"/>
          <w:sz w:val="22"/>
        </w:rPr>
        <w:t>The chairperson or vice chairperson will reserve the right to hold an electronic meeting of the board when prior board precedent does not clearly resolve the request, input of the board is deemed required and the practical result of waiting until the next regularly scheduled meeting would be a denial of the request due to timing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1081.5(4)</w:t>
      </w:r>
      <w:r>
        <w:rPr>
          <w:rFonts w:ascii="Times New Roman" w:hAnsi="Times New Roman"/>
          <w:b w:val="false"/>
          <w:i w:val="false"/>
          <w:color w:val="000000"/>
          <w:sz w:val="22"/>
        </w:rPr>
        <w:t> </w:t>
      </w:r>
      <w:r>
        <w:rPr>
          <w:rFonts w:ascii="Times New Roman" w:hAnsi="Times New Roman"/>
          <w:b w:val="false"/>
          <w:i w:val="false"/>
          <w:color w:val="000000"/>
          <w:sz w:val="22"/>
        </w:rPr>
        <w:t>A waiver report will be placed on the agenda of the next regularly scheduled board meeting and recorded in the minutes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1081.5(5)</w:t>
      </w:r>
      <w:r>
        <w:rPr>
          <w:rFonts w:ascii="Times New Roman" w:hAnsi="Times New Roman"/>
          <w:b w:val="false"/>
          <w:i w:val="false"/>
          <w:color w:val="000000"/>
          <w:sz w:val="22"/>
        </w:rPr>
        <w:t> </w:t>
      </w:r>
      <w:r>
        <w:rPr>
          <w:rFonts w:ascii="Times New Roman" w:hAnsi="Times New Roman"/>
          <w:b w:val="false"/>
          <w:i w:val="false"/>
          <w:color w:val="000000"/>
          <w:sz w:val="22"/>
        </w:rPr>
        <w:t>This rule on interim rulings does not apply if the waiver was filed in a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6.pdf" Type="http://schemas.openxmlformats.org/officeDocument/2006/relationships/hyperlink" Id="rId4"/>
    <Relationship TargetMode="External" Target="https://www.legis.iowa.gov/docs/iac/chapter/481.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