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The board consists of five licensed professional landscape architects and two members who are not licensed professional landscape architects and who represent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Four of the five professional members will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will be actively engaged in the practice of landscape architecture or the teaching of landscape architecture in an accredited college or university and may have been so engaged for fewer than five years preceding.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The board elects annually from its members a chairperson and a vice chairperson. A quorum of the board will be four members, and all final motions and actions must receive a vote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that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will,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will,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