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481—1067.3</w:t>
      </w:r>
      <w:r>
        <w:rPr>
          <w:rFonts w:ascii="Times New Roman" w:hAnsi="Times New Roman"/>
          <w:b/>
          <w:i w:val="false"/>
          <w:color w:val="000000"/>
          <w:sz w:val="22"/>
        </w:rPr>
        <w:t xml:space="preserve">(544A) </w:t>
      </w:r>
      <w:r>
        <w:rPr>
          <w:rFonts w:ascii="Times New Roman" w:hAnsi="Times New Roman"/>
          <w:b/>
          <w:i w:val="false"/>
          <w:color w:val="000000"/>
          <w:sz w:val="22"/>
        </w:rPr>
        <w:t xml:space="preserve">Civil penalties against unlicensed person. </w:t>
      </w:r>
      <w:r>
        <w:rPr>
          <w:rFonts w:ascii="Times New Roman" w:hAnsi="Times New Roman"/>
          <w:b w:val="false"/>
          <w:i w:val="false"/>
          <w:color w:val="000000"/>
          <w:sz w:val="22"/>
        </w:rPr>
        <w:t xml:space="preserve">The board may impose civil penalties by order against a person who is not licensed as an architect pursuant to Iowa Code chapter </w:t>
      </w:r>
      <w:hyperlink r:id="rId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based on the unlawful practices specified in Iowa Code section </w:t>
      </w:r>
      <w:hyperlink r:id="rId5">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In addition to the procedures set forth in Iowa Code section </w:t>
      </w:r>
      <w:hyperlink r:id="rId6">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7">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may be served upon the unlicensed person by restricted certified mail, return receipt requested, or personal service in accordance with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unlicensed person’s right to a hearing and the time frame in which a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1067.3(2)</w:t>
      </w:r>
      <w:r>
        <w:rPr>
          <w:rFonts w:ascii="Times New Roman" w:hAnsi="Times New Roman"/>
          <w:b w:val="false"/>
          <w:i w:val="false"/>
          <w:color w:val="000000"/>
          <w:sz w:val="22"/>
        </w:rPr>
        <w:t> </w:t>
      </w:r>
      <w:r>
        <w:rPr>
          <w:rFonts w:ascii="Times New Roman" w:hAnsi="Times New Roman"/>
          <w:b w:val="false"/>
          <w:i w:val="false"/>
          <w:color w:val="000000"/>
          <w:sz w:val="22"/>
        </w:rPr>
        <w:t>Unlicensed persons need to request a hearing in writing within 30 days of the date the notice is mailed, if served through restricted certified mail to the last-known address, or within 30 days of the date of service, if service is accepted or made in accordance with Rule of Civil Procedure 1.305. A request for hearing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issues a notice of hearing and conducts a hearing in the same manner as applicable to disciplinary cases against licensed architects.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8">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unlicensed person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1067.3(6)</w:t>
      </w:r>
      <w:r>
        <w:rPr>
          <w:rFonts w:ascii="Times New Roman" w:hAnsi="Times New Roman"/>
          <w:b w:val="false"/>
          <w:i w:val="false"/>
          <w:color w:val="000000"/>
          <w:sz w:val="22"/>
        </w:rPr>
        <w:t> </w:t>
      </w:r>
      <w:r>
        <w:rPr>
          <w:rFonts w:ascii="Times New Roman" w:hAnsi="Times New Roman"/>
          <w:b w:val="false"/>
          <w:i w:val="false"/>
          <w:color w:val="000000"/>
          <w:sz w:val="22"/>
        </w:rPr>
        <w:t>An unlicensed person may waive the right to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Architectural Registration Boards, and other entities.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A.pdf" Type="http://schemas.openxmlformats.org/officeDocument/2006/relationships/hyperlink" Id="rId4"/>
    <Relationship TargetMode="External" Target="https://www.legis.iowa.gov/docs/ico/chapter/544A.15.pdf" Type="http://schemas.openxmlformats.org/officeDocument/2006/relationships/hyperlink" Id="rId5"/>
    <Relationship TargetMode="External" Target="https://www.legis.iowa.gov/docs/ico/chapter/544A.15.pdf" Type="http://schemas.openxmlformats.org/officeDocument/2006/relationships/hyperlink" Id="rId6"/>
    <Relationship TargetMode="External" Target="https://www.legis.iowa.gov/docs/ico/chapter/544A.15.pdf" Type="http://schemas.openxmlformats.org/officeDocument/2006/relationships/hyperlink" Id="rId7"/>
    <Relationship TargetMode="External" Target="https://www.legis.iowa.gov/docs/ico/chapter/544A.15.pdf" Type="http://schemas.openxmlformats.org/officeDocument/2006/relationships/hyperlink" Id="rId8"/>
    <Relationship TargetMode="External" Target="https://www.legis.iowa.gov/docs/ico/chapter/2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