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481—1066.7</w:t>
      </w:r>
      <w:r>
        <w:rPr>
          <w:rFonts w:ascii="Times New Roman" w:hAnsi="Times New Roman"/>
          <w:b/>
          <w:i w:val="false"/>
          <w:color w:val="000000"/>
          <w:sz w:val="22"/>
        </w:rPr>
        <w:t xml:space="preserve">(544A,272C) </w:t>
      </w:r>
      <w:r>
        <w:rPr>
          <w:rFonts w:ascii="Times New Roman" w:hAnsi="Times New Roman"/>
          <w:b/>
          <w:i w:val="false"/>
          <w:color w:val="000000"/>
          <w:sz w:val="22"/>
        </w:rPr>
        <w:t xml:space="preserve">Voluntary surrender. </w:t>
      </w:r>
      <w:r>
        <w:rPr>
          <w:rFonts w:ascii="Times New Roman" w:hAnsi="Times New Roman"/>
          <w:b w:val="false"/>
          <w:i w:val="false"/>
          <w:color w:val="000000"/>
          <w:sz w:val="22"/>
        </w:rPr>
        <w:t>Voluntary surrender of licensure is considered as disciplinary action. The board may accept the voluntary surrender of a license to resolve a pending disciplinary contested case or pending disciplinary investigation. The board will not accept a voluntary surrender of a license to resolve a pending disciplinary investigation unless a statement of charges is filed along with the order accepting the voluntary surrender. Such voluntary surrender is considered disciplinary action and will be published in the same manner as is applicable to any other form of disciplinary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