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481—1066.5</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The licensee is not required to attend the informal discussion.</w:t>
      </w:r>
    </w:p>
    <w:p>
      <w:pPr>
        <w:spacing w:before="0" w:after="0"/>
        <w:ind w:left="120"/>
        <w:jc w:val="both"/>
      </w:pPr>
      <w:r>
        <w:rPr>
          <w:rFonts w:ascii="Times New Roman" w:hAnsi="Times New Roman"/>
          <w:b w:val="false"/>
          <w:i w:val="false"/>
          <w:color w:val="000000"/>
          <w:sz w:val="22"/>
        </w:rPr>
        <w:t>Unless disqualification is waived by the licensee, board members who personally investigated a disciplinary complaint are disqualified from making decisions at a later formal hearing. Because board members generally rely upon staff, investigators, auditors, peer review committees, or expert consultants to conduct investigations, the issue rarely arises. An informal discussion, however, is a form of investigation because it is conducted in a question-and-answer format. In order to preserve the ability of all board members to participate in board decision making, licensees who desire to attend an informal discussion will therefore waive their right to seek disqualification of a board member or staff based solely on the board member’s or staff’s participation in an informal discussion. Licensees would not be waiving their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will be filed simultaneously with the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