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481—1065.4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Exceptions matrix.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following matrix is compiled to illustrate the exceptions outlined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544A.18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laws and rules governing the practice of engineering are not illustrated herein.</w:t>
      </w:r>
    </w:p>
    <w:tbl>
      <w:tblPr>
        <w:tblW w:w="0" w:type="auto"/>
        <w:tblCellSpacing w:w="0" w:type="auto"/>
        <w:tblInd w:w="115" w:type="dxa"/>
        <w:tblBorders>
          <w:top w:val="single" w:color="000000" w:sz="8"/>
          <w:left w:val="single" w:color="000000" w:sz="8"/>
          <w:bottom w:val="single" w:color="000000" w:sz="8"/>
          <w:right w:val="single" w:color="000000" w:sz="8"/>
          <w:insideH w:val="none"/>
          <w:insideV w:val="none"/>
        </w:tblBorders>
        <w:tblLayout w:type="fixed"/>
      </w:tblPr>
      <w:tblGrid>
        <w:gridCol w:w="2283"/>
        <w:gridCol w:w="5163"/>
        <w:gridCol w:w="1227"/>
        <w:gridCol w:w="1227"/>
      </w:tblGrid>
      <w:tr>
        <w:trPr>
          <w:trHeight w:val="360" w:hRule="atLeast"/>
        </w:trPr>
        <w:tc>
          <w:tcPr>
            <w:tcW w:w="0" w:type="auto"/>
            <w:gridSpan w:val="4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160"/>
              <w:jc w:val="center"/>
            </w:pPr>
            <w:r>
              <w:rPr>
                <w:rFonts w:ascii="Times New Roman" w:hAnsi="Times New Roman"/>
                <w:b/>
                <w:i w:val="false"/>
                <w:color w:val="000000"/>
                <w:sz w:val="14"/>
              </w:rPr>
              <w:t>BUILDINGS</w:t>
            </w:r>
          </w:p>
          <w:p>
            <w:pPr>
              <w:spacing w:before="0" w:after="0" w:line="264"/>
              <w:ind w:left="160"/>
              <w:jc w:val="center"/>
            </w:pPr>
            <w:r>
              <w:rPr>
                <w:rFonts w:ascii="Times New Roman" w:hAnsi="Times New Roman"/>
                <w:b/>
                <w:i w:val="false"/>
                <w:color w:val="000000"/>
                <w:sz w:val="14"/>
              </w:rPr>
              <w:t>NEW CONSTRUCTION</w:t>
            </w:r>
          </w:p>
        </w:tc>
      </w:tr>
      <w:tr>
        <w:trPr>
          <w:trHeight w:val="510" w:hRule="atLeast"/>
        </w:trPr>
        <w:tc>
          <w:tcPr>
            <w:tcW w:w="228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/>
                <w:i w:val="false"/>
                <w:color w:val="000000"/>
                <w:sz w:val="14"/>
              </w:rPr>
              <w:t>Building Use Type</w:t>
            </w:r>
          </w:p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/>
                <w:i w:val="false"/>
                <w:color w:val="000000"/>
                <w:sz w:val="14"/>
              </w:rPr>
              <w:t>Description</w:t>
            </w:r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/>
                <w:i w:val="false"/>
                <w:color w:val="000000"/>
                <w:sz w:val="14"/>
              </w:rPr>
              <w:t>Architect Required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/>
                <w:i w:val="false"/>
                <w:color w:val="000000"/>
                <w:sz w:val="14"/>
              </w:rPr>
              <w:t>Architect May Not Be Required</w:t>
            </w:r>
          </w:p>
        </w:tc>
      </w:tr>
      <w:tr>
        <w:trPr>
          <w:trHeight w:val="195" w:hRule="atLeast"/>
        </w:trPr>
        <w:tc>
          <w:tcPr>
            <w:tcW w:w="228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Agricultural use</w:t>
            </w:r>
          </w:p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Including grain elevators and feed mills</w:t>
            </w:r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</w:tr>
      <w:tr>
        <w:trPr>
          <w:trHeight w:val="360" w:hRule="atLeast"/>
        </w:trPr>
        <w:tc>
          <w:tcPr>
            <w:tcW w:w="2283" w:type="dxa"/>
            <w:vMerge w:val="restart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Churches and </w:t>
            </w:r>
          </w:p>
          <w:p>
            <w:pPr>
              <w:spacing w:before="0" w:after="0" w:line="264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accessory buildings</w:t>
            </w:r>
          </w:p>
          <w:p>
            <w:pPr>
              <w:spacing w:before="0" w:after="0" w:line="264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whether attached </w:t>
            </w:r>
          </w:p>
          <w:p>
            <w:pPr>
              <w:spacing w:before="0" w:after="0" w:line="264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or separate</w:t>
            </w:r>
          </w:p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One or two stories in height, up to a maximum of 2,000 square feet in gross floor area</w:t>
            </w:r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</w:tr>
      <w:tr>
        <w:trPr>
          <w:trHeight w:val="360" w:hRule="atLeast"/>
        </w:trPr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Any number of stories in height, greater than 2,000 square feet in gross floor area</w:t>
            </w:r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More than two stories in height</w:t>
            </w:r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360" w:hRule="atLeast"/>
        </w:trPr>
        <w:tc>
          <w:tcPr>
            <w:tcW w:w="2283" w:type="dxa"/>
            <w:vMerge w:val="restart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Commercial use</w:t>
            </w:r>
          </w:p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One story in height, up to a maximum of 10,000 square feet in gross floor area</w:t>
            </w:r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</w:tr>
      <w:tr>
        <w:trPr>
          <w:trHeight w:val="360" w:hRule="atLeast"/>
        </w:trPr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One story in height, greater than 10,000 square feet in gross floor area</w:t>
            </w:r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360" w:hRule="atLeast"/>
        </w:trPr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Two stories in height, up to a maximum of 6,000 square feet in gross floor area</w:t>
            </w:r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</w:tr>
      <w:tr>
        <w:trPr>
          <w:trHeight w:val="360" w:hRule="atLeast"/>
        </w:trPr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Two stories in height, greater than 6,000 square feet of gross floor area</w:t>
            </w:r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More than two stories in height</w:t>
            </w:r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360" w:hRule="atLeast"/>
        </w:trPr>
        <w:tc>
          <w:tcPr>
            <w:tcW w:w="2283" w:type="dxa"/>
            <w:vMerge w:val="restart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Detached </w:t>
            </w:r>
          </w:p>
          <w:p>
            <w:pPr>
              <w:spacing w:before="0" w:after="0" w:line="264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residential</w:t>
            </w:r>
          </w:p>
          <w:p>
            <w:pPr>
              <w:spacing w:before="0" w:after="0" w:line="264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use</w:t>
            </w:r>
          </w:p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One, two or three stories in height, containing 12 or fewer family dwelling units</w:t>
            </w:r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</w:tr>
      <w:tr>
        <w:trPr>
          <w:trHeight w:val="195" w:hRule="atLeast"/>
        </w:trPr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More than 12 family dwelling units</w:t>
            </w:r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More than three stories in height</w:t>
            </w:r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Outbuildings in connection with detached residential buildings</w:t>
            </w:r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</w:tr>
      <w:tr>
        <w:trPr>
          <w:trHeight w:val="195" w:hRule="atLeast"/>
        </w:trPr>
        <w:tc>
          <w:tcPr>
            <w:tcW w:w="228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Educational use</w:t>
            </w:r>
          </w:p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228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Hazardous use</w:t>
            </w:r>
          </w:p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228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Industrial use</w:t>
            </w:r>
          </w:p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228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Institutional use</w:t>
            </w:r>
          </w:p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228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Light industrial use</w:t>
            </w:r>
          </w:p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</w:tr>
      <w:tr>
        <w:trPr>
          <w:trHeight w:val="195" w:hRule="atLeast"/>
        </w:trPr>
        <w:tc>
          <w:tcPr>
            <w:tcW w:w="228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Places of assembly</w:t>
            </w:r>
          </w:p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360" w:hRule="atLeast"/>
        </w:trPr>
        <w:tc>
          <w:tcPr>
            <w:tcW w:w="2283" w:type="dxa"/>
            <w:vMerge w:val="restart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Warehouse use</w:t>
            </w:r>
          </w:p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One story in height, up to a maximum of 10,000 square feet in gross floor area</w:t>
            </w:r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</w:tr>
      <w:tr>
        <w:trPr>
          <w:trHeight w:val="360" w:hRule="atLeast"/>
        </w:trPr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One story in height, greater than 10,000 square feet in gross floor area</w:t>
            </w:r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More than one story in height</w:t>
            </w:r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360" w:hRule="atLeast"/>
        </w:trPr>
        <w:tc>
          <w:tcPr>
            <w:tcW w:w="2283" w:type="dxa"/>
            <w:vMerge w:val="restart"/>
            <w:tcBorders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Factory-built buildings</w:t>
            </w:r>
          </w:p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Any height and size, if certified by a professional engineer licensed under Iowa Code chapter </w:t>
            </w:r>
            <w:hyperlink r:id="rId5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00"/>
                  <w:sz w:val="14"/>
                </w:rPr>
                <w:t>542B</w:t>
              </w:r>
            </w:hyperlink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</w:tr>
      <w:tr>
        <w:trPr>
          <w:trHeight w:val="360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One or two stories in height, up to a maximum of 20,000 square feet in gross floor area</w:t>
            </w:r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</w:tr>
      <w:tr>
        <w:trPr>
          <w:trHeight w:val="360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One or two stories in height, greater than 20,000 square feet in gross floor area</w:t>
            </w:r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5163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More than two stories in height</w:t>
            </w:r>
          </w:p>
        </w:tc>
        <w:tc>
          <w:tcPr>
            <w:tcW w:w="1227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227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5163" w:type="dxa"/>
            <w:tcBorders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More than 20,000 square feet in gross floor area</w:t>
            </w:r>
          </w:p>
        </w:tc>
        <w:tc>
          <w:tcPr>
            <w:tcW w:w="1227" w:type="dxa"/>
            <w:tcBorders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22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</w:tbl>
    <w:tbl>
      <w:tblPr>
        <w:tblW w:w="0" w:type="auto"/>
        <w:tblCellSpacing w:w="0" w:type="auto"/>
        <w:tblInd w:w="115" w:type="dxa"/>
        <w:tblBorders>
          <w:top w:val="single" w:color="000000" w:sz="8"/>
          <w:left w:val="single" w:color="000000" w:sz="8"/>
          <w:bottom w:val="single" w:color="000000" w:sz="8"/>
          <w:right w:val="single" w:color="000000" w:sz="8"/>
          <w:insideH w:val="none"/>
          <w:insideV w:val="none"/>
        </w:tblBorders>
        <w:tblLayout w:type="fixed"/>
      </w:tblPr>
      <w:tblGrid>
        <w:gridCol w:w="1438"/>
        <w:gridCol w:w="1905"/>
        <w:gridCol w:w="4356"/>
        <w:gridCol w:w="1131"/>
        <w:gridCol w:w="1131"/>
      </w:tblGrid>
      <w:tr>
        <w:trPr>
          <w:trHeight w:val="360" w:hRule="atLeast"/>
        </w:trPr>
        <w:tc>
          <w:tcPr>
            <w:tcW w:w="0" w:type="auto"/>
            <w:gridSpan w:val="5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160"/>
              <w:jc w:val="center"/>
            </w:pPr>
            <w:r>
              <w:rPr>
                <w:rFonts w:ascii="Times New Roman" w:hAnsi="Times New Roman"/>
                <w:b/>
                <w:i w:val="false"/>
                <w:color w:val="000000"/>
                <w:sz w:val="14"/>
              </w:rPr>
              <w:t>ALTERATIONS</w:t>
            </w:r>
          </w:p>
          <w:p>
            <w:pPr>
              <w:spacing w:before="0" w:after="0" w:line="264"/>
              <w:ind w:left="160"/>
              <w:jc w:val="center"/>
            </w:pPr>
            <w:r>
              <w:rPr>
                <w:rFonts w:ascii="Times New Roman" w:hAnsi="Times New Roman"/>
                <w:b/>
                <w:i w:val="false"/>
                <w:color w:val="000000"/>
                <w:sz w:val="14"/>
              </w:rPr>
              <w:t>TO EXISTING BUILDINGS</w:t>
            </w:r>
          </w:p>
        </w:tc>
      </w:tr>
      <w:tr>
        <w:trPr>
          <w:trHeight w:val="510" w:hRule="atLeast"/>
        </w:trPr>
        <w:tc>
          <w:tcPr>
            <w:tcW w:w="1438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/>
                <w:i w:val="false"/>
                <w:color w:val="000000"/>
                <w:sz w:val="14"/>
              </w:rPr>
              <w:t>Alteration Type</w:t>
            </w:r>
          </w:p>
        </w:tc>
        <w:tc>
          <w:tcPr>
            <w:tcW w:w="0" w:type="auto"/>
            <w:gridSpan w:val="2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/>
                <w:i w:val="false"/>
                <w:color w:val="000000"/>
                <w:sz w:val="14"/>
              </w:rPr>
              <w:t>Description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/>
                <w:i w:val="false"/>
                <w:color w:val="000000"/>
                <w:sz w:val="14"/>
              </w:rPr>
              <w:t>Architect Required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/>
                <w:i w:val="false"/>
                <w:color w:val="000000"/>
                <w:sz w:val="14"/>
              </w:rPr>
              <w:t>Architect May Not Be Required</w:t>
            </w:r>
          </w:p>
        </w:tc>
      </w:tr>
      <w:tr>
        <w:trPr>
          <w:trHeight w:val="510" w:hRule="atLeast"/>
        </w:trPr>
        <w:tc>
          <w:tcPr>
            <w:tcW w:w="1438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Structural alterations to exempt buildings</w:t>
            </w:r>
          </w:p>
        </w:tc>
        <w:tc>
          <w:tcPr>
            <w:tcW w:w="0" w:type="auto"/>
            <w:gridSpan w:val="2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Modifications that change the structural members, means of egress, handicap accessible path, fire resistivity or other life safety concerns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</w:tr>
      <w:tr>
        <w:trPr>
          <w:trHeight w:val="660" w:hRule="atLeast"/>
        </w:trPr>
        <w:tc>
          <w:tcPr>
            <w:tcW w:w="1438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Structural alterations to nonexempt buildings</w:t>
            </w:r>
          </w:p>
        </w:tc>
        <w:tc>
          <w:tcPr>
            <w:tcW w:w="0" w:type="auto"/>
            <w:gridSpan w:val="2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Modifications that change the structural members, means of egress, handicap accessible path, fire resistivity or other life safety concerns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360" w:hRule="atLeast"/>
        </w:trPr>
        <w:tc>
          <w:tcPr>
            <w:tcW w:w="1438" w:type="dxa"/>
            <w:tcBorders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Nonstructural alteration</w:t>
            </w:r>
          </w:p>
        </w:tc>
        <w:tc>
          <w:tcPr>
            <w:tcW w:w="0" w:type="auto"/>
            <w:gridSpan w:val="2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That does not modify means of egress, handicap accessible path, fire resistivity or other life safety concerns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</w:tr>
      <w:tr>
        <w:trPr>
          <w:trHeight w:val="195" w:hRule="atLeast"/>
        </w:trPr>
        <w:tc>
          <w:tcPr>
            <w:tcW w:w="1438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0" w:type="auto"/>
            <w:gridSpan w:val="2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That maintains the previous type of use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</w:tr>
      <w:tr>
        <w:trPr>
          <w:trHeight w:val="195" w:hRule="atLeast"/>
        </w:trPr>
        <w:tc>
          <w:tcPr>
            <w:tcW w:w="1438" w:type="dxa"/>
            <w:tcBorders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Nonstructural</w:t>
            </w:r>
          </w:p>
        </w:tc>
        <w:tc>
          <w:tcPr>
            <w:tcW w:w="0" w:type="auto"/>
            <w:gridSpan w:val="2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 place of assembly of people or public gathering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X 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1438" w:type="dxa"/>
            <w:tcBorders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alteration that</w:t>
            </w:r>
          </w:p>
        </w:tc>
        <w:tc>
          <w:tcPr>
            <w:tcW w:w="0" w:type="auto"/>
            <w:gridSpan w:val="2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Educational use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X 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1438" w:type="dxa"/>
            <w:tcBorders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changes the</w:t>
            </w:r>
          </w:p>
        </w:tc>
        <w:tc>
          <w:tcPr>
            <w:tcW w:w="0" w:type="auto"/>
            <w:gridSpan w:val="2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Hazardous use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X 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360" w:hRule="atLeast"/>
        </w:trPr>
        <w:tc>
          <w:tcPr>
            <w:tcW w:w="1438" w:type="dxa"/>
            <w:vMerge w:val="restart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use of the building from any other use to:</w:t>
            </w:r>
          </w:p>
        </w:tc>
        <w:tc>
          <w:tcPr>
            <w:tcW w:w="1905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Residential use exempted</w:t>
            </w:r>
          </w:p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and is one, two or three stories in height and contains not more than 12 family dwelling units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</w:tr>
      <w:tr>
        <w:trPr>
          <w:trHeight w:val="195" w:hRule="atLeast"/>
        </w:trPr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1905" w:type="dxa"/>
            <w:vMerge w:val="restart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Residential use not exempted otherwise</w:t>
            </w:r>
          </w:p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and is more than three stories in height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and containing more than 12 family dwelling units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360" w:hRule="atLeast"/>
        </w:trPr>
        <w:tc>
          <w:tcPr>
            <w:tcW w:w="1438" w:type="dxa"/>
            <w:vMerge w:val="restart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Nonstructural alterations that change the use of the building from industrial or warehouse to:</w:t>
            </w:r>
          </w:p>
        </w:tc>
        <w:tc>
          <w:tcPr>
            <w:tcW w:w="1905" w:type="dxa"/>
            <w:vMerge w:val="restart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Commercial or</w:t>
            </w:r>
          </w:p>
          <w:p>
            <w:pPr>
              <w:spacing w:before="0" w:after="0" w:line="264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office use</w:t>
            </w:r>
          </w:p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and is one story in height and not greater than a maximum of 10,000 square feet in gross floor area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</w:tr>
      <w:tr>
        <w:trPr>
          <w:trHeight w:val="360" w:hRule="atLeast"/>
        </w:trPr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and is one story in height and greater than 10,000 square feet in gross floor area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360" w:hRule="atLeast"/>
        </w:trPr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and is two stories in height and not greater than a maximum of 6,000 square feet in gross floor area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</w:tr>
      <w:tr>
        <w:trPr>
          <w:trHeight w:val="360" w:hRule="atLeast"/>
        </w:trPr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and is two stories in height and greater than 6,000 square feet in gross floor area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and is more than two stories in height 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and is greater than 10,000 square feet of gross floor area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1438" w:type="dxa"/>
            <w:vMerge w:val="restart"/>
            <w:tcBorders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Nonstructural alterations to:</w:t>
            </w:r>
          </w:p>
        </w:tc>
        <w:tc>
          <w:tcPr>
            <w:tcW w:w="1905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Agricultural use</w:t>
            </w:r>
          </w:p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Including grain elevators and feed mills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</w:tr>
      <w:tr>
        <w:trPr>
          <w:trHeight w:val="360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1905" w:type="dxa"/>
            <w:vMerge w:val="restart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Churches and accessory building uses</w:t>
            </w:r>
          </w:p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One or two stories in height, up to a maximum of 2,000 square feet in gross floor area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</w:tr>
      <w:tr>
        <w:trPr>
          <w:trHeight w:val="360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Any number of stories in height, greater than 2,000 square feet in gross floor area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More than two stories in height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360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1905" w:type="dxa"/>
            <w:vMerge w:val="restart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Commercial use</w:t>
            </w:r>
          </w:p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One story in height, up to a maximum of 10,000 square feet in gross floor area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</w:tr>
      <w:tr>
        <w:trPr>
          <w:trHeight w:val="360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One story in height, greater than 10,000 square feet in gross floor area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360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Two stories in height, up to a maximum of 6,000 square feet in gross floor area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</w:tr>
      <w:tr>
        <w:trPr>
          <w:trHeight w:val="360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Two stories in height, greater than 6,000 square feet in gross floor area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More than two stories in height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360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1905" w:type="dxa"/>
            <w:vMerge w:val="restart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Detached residential buildings</w:t>
            </w:r>
          </w:p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One, two or three stories in height, containing 12 or fewer family dwelling units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</w:tr>
      <w:tr>
        <w:trPr>
          <w:trHeight w:val="195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More than 12 family dwelling units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More than three stories in height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360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Outbuildings in connection with detached residential buildings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</w:tr>
      <w:tr>
        <w:trPr>
          <w:trHeight w:val="195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1905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Educational use</w:t>
            </w:r>
          </w:p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1905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Hazardous use</w:t>
            </w:r>
          </w:p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1905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Industrial use</w:t>
            </w:r>
          </w:p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1905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Institutional use</w:t>
            </w:r>
          </w:p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1905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Light industrial use</w:t>
            </w:r>
          </w:p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</w:tr>
      <w:tr>
        <w:trPr>
          <w:trHeight w:val="195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1905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Places of assembly</w:t>
            </w:r>
          </w:p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360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1905" w:type="dxa"/>
            <w:vMerge w:val="restart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Warehouse use</w:t>
            </w:r>
          </w:p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One story in height, up to a maximum of 10,000 square feet in gross floor area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</w:tr>
      <w:tr>
        <w:trPr>
          <w:trHeight w:val="360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One story in height, greater than 10,000 square feet in gross floor area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0" w:type="auto"/>
            <w:vMerge/>
            <w:tcBorders>
              <w:top w:val="nil"/>
              <w:bottom w:val="single" w:color="000000" w:sz="8"/>
              <w:right w:val="single" w:color="000000" w:sz="8"/>
            </w:tcBorders>
          </w:tcPr>
          <w:p/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More than one story in height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510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1905" w:type="dxa"/>
            <w:vMerge w:val="restart"/>
            <w:tcBorders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Factory-built buildings</w:t>
            </w:r>
          </w:p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Any height and size if entire building is certified by a professional engineer licensed under Iowa Code chapter </w:t>
            </w:r>
            <w:hyperlink r:id="rId6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00"/>
                  <w:sz w:val="14"/>
                </w:rPr>
                <w:t>542B</w:t>
              </w:r>
            </w:hyperlink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</w:tr>
      <w:tr>
        <w:trPr>
          <w:trHeight w:val="360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One or two stories in height, up to a maximum of 20,000 square feet of gross floor area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</w:tr>
      <w:tr>
        <w:trPr>
          <w:trHeight w:val="360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One or two stories in height, greater than 20,000 square feet in gross floor area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4356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More than two stories in height</w:t>
            </w:r>
          </w:p>
        </w:tc>
        <w:tc>
          <w:tcPr>
            <w:tcW w:w="1131" w:type="dxa"/>
            <w:tcBorders>
              <w:bottom w:val="single" w:color="000000" w:sz="8"/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131" w:type="dxa"/>
            <w:tcBorders>
              <w:bottom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95" w:hRule="atLeast"/>
        </w:trPr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0" w:type="auto"/>
            <w:vMerge/>
            <w:tcBorders>
              <w:top w:val="nil"/>
              <w:right w:val="single" w:color="000000" w:sz="8"/>
            </w:tcBorders>
          </w:tcPr>
          <w:p/>
        </w:tc>
        <w:tc>
          <w:tcPr>
            <w:tcW w:w="4356" w:type="dxa"/>
            <w:tcBorders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More than 20,000 square feet in gross floor area</w:t>
            </w:r>
          </w:p>
        </w:tc>
        <w:tc>
          <w:tcPr>
            <w:tcW w:w="1131" w:type="dxa"/>
            <w:tcBorders>
              <w:right w:val="single" w:color="000000" w:sz="8"/>
            </w:tcBorders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</w:t>
            </w:r>
          </w:p>
        </w:tc>
        <w:tc>
          <w:tcPr>
            <w:tcW w:w="1131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</w:tbl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7760C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4A.18.pdf" Type="http://schemas.openxmlformats.org/officeDocument/2006/relationships/hyperlink" Id="rId4"/>
    <Relationship TargetMode="External" Target="https://www.legis.iowa.gov/docs/ico/chapter/542B.pdf" Type="http://schemas.openxmlformats.org/officeDocument/2006/relationships/hyperlink" Id="rId5"/>
    <Relationship TargetMode="External" Target="https://www.legis.iowa.gov/docs/ico/chapter/542B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