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481—1063.5</w:t>
      </w:r>
      <w:r>
        <w:rPr>
          <w:rFonts w:ascii="Times New Roman" w:hAnsi="Times New Roman"/>
          <w:b/>
          <w:i w:val="false"/>
          <w:color w:val="000000"/>
          <w:sz w:val="22"/>
        </w:rPr>
        <w:t xml:space="preserve">(544A,272C) </w:t>
      </w:r>
      <w:r>
        <w:rPr>
          <w:rFonts w:ascii="Times New Roman" w:hAnsi="Times New Roman"/>
          <w:b/>
          <w:i w:val="false"/>
          <w:color w:val="000000"/>
          <w:sz w:val="22"/>
        </w:rPr>
        <w:t xml:space="preserve">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1063.5(1)</w:t>
      </w:r>
      <w:r>
        <w:rPr>
          <w:rFonts w:ascii="Times New Roman" w:hAnsi="Times New Roman"/>
          <w:b w:val="false"/>
          <w:i w:val="false"/>
          <w:color w:val="000000"/>
          <w:sz w:val="22"/>
        </w:rPr>
        <w:t> </w:t>
      </w:r>
      <w:r>
        <w:rPr>
          <w:rFonts w:ascii="Times New Roman" w:hAnsi="Times New Roman"/>
          <w:b w:val="false"/>
          <w:i w:val="false"/>
          <w:color w:val="000000"/>
          <w:sz w:val="22"/>
        </w:rPr>
        <w:t xml:space="preserve">As provided in Iowa Code section </w:t>
      </w:r>
      <w:hyperlink r:id="rId4">
        <w:r>
          <w:rPr>
            <w:rStyle w:val="Hyperlink"/>
            <w:rFonts w:ascii="Times New Roman" w:hAnsi="Times New Roman"/>
            <w:b w:val="false"/>
            <w:i w:val="false"/>
            <w:color w:val="000000"/>
            <w:sz w:val="22"/>
          </w:rPr>
          <w:t>272C.2(4)</w:t>
        </w:r>
      </w:hyperlink>
      <w:r>
        <w:rPr>
          <w:rFonts w:ascii="Times New Roman" w:hAnsi="Times New Roman"/>
          <w:b w:val="false"/>
          <w:i w:val="false"/>
          <w:color w:val="000000"/>
          <w:sz w:val="22"/>
        </w:rPr>
        <w:t>, a licensed architect will be deemed to have complied with the continuing education requirements set forth in this chapter if the architect attests in the required affidavit that for not less than 21 months of the preceding two-year period of licensure, the architect: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served honorably on active duty in the military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a resident of another state or district having a continuing education requirement for licensure as an architect and has complied with all requirements of that state or district for practice therein;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a government employee working as an architect and assigned to duty outside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1063.5(2)</w:t>
      </w:r>
      <w:r>
        <w:rPr>
          <w:rFonts w:ascii="Times New Roman" w:hAnsi="Times New Roman"/>
          <w:b w:val="false"/>
          <w:i w:val="false"/>
          <w:color w:val="000000"/>
          <w:sz w:val="22"/>
        </w:rPr>
        <w:t> </w:t>
      </w:r>
      <w:r>
        <w:rPr>
          <w:rFonts w:ascii="Times New Roman" w:hAnsi="Times New Roman"/>
          <w:b w:val="false"/>
          <w:i w:val="false"/>
          <w:color w:val="000000"/>
          <w:sz w:val="22"/>
        </w:rPr>
        <w:t>Architects who so attest on their affidavits that they are retired from active practice or are not engaged in active practice may maintain their licenses in retired or inactive status without satisfying CE requirements. Such architects may, however, reenter practice only after satisfying the board of their proficiency. Proficiency may be established by any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Submitting verifiable evidence of compliance with the aggregate continuing education requirements for the reporting periods attested as retired from active practice or not engaged in active practice up to a maximum of 48 CEHs.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Retaking the architectural registration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Fulfilling alternative reentry requirements determined by the board that serve to assure the board of the current competency of the architect to engage in the practice of architecture.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make exceptions for reasons of individual hardship, including health (certified by a medical doctor) or other good cause. More information is contained in </w:t>
      </w:r>
      <w:hyperlink r:id="rId5">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2.pdf" Type="http://schemas.openxmlformats.org/officeDocument/2006/relationships/hyperlink" Id="rId4"/>
    <Relationship TargetMode="External" Target="https://www.legis.iowa.gov/docs/iac/chapter/7.2504.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