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481—1063.3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Basic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renew licensure, an architect must, in addition to meeting all other requirements, complete a minimum of 24 CEHs for each 24-month period since the architect’s last renewal of initial licensure or be exempt from these continuing education requirements as provided in rule </w:t>
      </w:r>
      <w:hyperlink r:id="rId4">
        <w:r>
          <w:rPr>
            <w:rStyle w:val="Hyperlink"/>
            <w:rFonts w:ascii="Times New Roman" w:hAnsi="Times New Roman"/>
            <w:b w:val="false"/>
            <w:i w:val="false"/>
            <w:color w:val="000000"/>
            <w:sz w:val="22"/>
          </w:rPr>
          <w:t>481—1063.5</w:t>
        </w:r>
      </w:hyperlink>
      <w:r>
        <w:rPr>
          <w:rFonts w:ascii="Times New Roman" w:hAnsi="Times New Roman"/>
          <w:b w:val="false"/>
          <w:i w:val="false"/>
          <w:color w:val="000000"/>
          <w:sz w:val="22"/>
        </w:rPr>
        <w:t>(544A,272C). Failure to comply with these requirements may result in nonrenewal of the architect’s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1063.3(2)</w:t>
      </w:r>
      <w:r>
        <w:rPr>
          <w:rFonts w:ascii="Times New Roman" w:hAnsi="Times New Roman"/>
          <w:b w:val="false"/>
          <w:i w:val="false"/>
          <w:color w:val="000000"/>
          <w:sz w:val="22"/>
        </w:rPr>
        <w:t> </w:t>
      </w:r>
      <w:r>
        <w:rPr>
          <w:rFonts w:ascii="Times New Roman" w:hAnsi="Times New Roman"/>
          <w:b w:val="false"/>
          <w:i w:val="false"/>
          <w:color w:val="000000"/>
          <w:sz w:val="22"/>
        </w:rPr>
        <w:t>All 24 CEHs must be completed in health, safety, and welfare subjects acquired in structured educational activities. CEHs may be acquired at any location. A licensee may carry over up to 12 CEHs obtained in excess of the requirements for a renewal period to the following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1063.3(3)</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complete and submit forms as required by the board certifying that the architect has completed the required CEHs. Forms may be audited by the board for verification of compliance with these requirements. Documentation of reported CEHs will be maintained by the architect for two years after the period for which the form was submitted. Any discrepancy between the number of CEHs reported and the number of CEHs actually supported by documentation may result in a disciplinary review. If, after the disciplinary review, the board disallows any CEHs, or the licensee has failed to complete the required CEHs, the architect will have 60 days from notification of the board to either provide further evidence of having completed the CEHs disallowed or remedy the disallowance by completing the required number of CEHs (provided that such CEHs are not used for the next renewal). An extension of time may be granted on an individual basis and must be requested by the licensee within 30 days of notification by the board. If the licensee fails to comply with the requirements of this subrule, the licensee may be subject to disciplinary action. If the board finds, after proper notice and hearing, that the architect willfully disregarded these requirements or falsified documentation of required CEHs, the architect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1063.3(4)</w:t>
      </w:r>
      <w:r>
        <w:rPr>
          <w:rFonts w:ascii="Times New Roman" w:hAnsi="Times New Roman"/>
          <w:b w:val="false"/>
          <w:i w:val="false"/>
          <w:color w:val="000000"/>
          <w:sz w:val="22"/>
        </w:rPr>
        <w:t> </w:t>
      </w:r>
      <w:r>
        <w:rPr>
          <w:rFonts w:ascii="Times New Roman" w:hAnsi="Times New Roman"/>
          <w:b w:val="false"/>
          <w:i w:val="false"/>
          <w:color w:val="000000"/>
          <w:sz w:val="22"/>
        </w:rPr>
        <w:t>An architect who holds licensure in Iowa for less than 12 months from the date of initial licensure or who is reinstating to active status is not required to report CEHs at the first license renewal. An architect who holds licensure in Iowa for 12 months or more, but less than 23 months from the date of initial licensure or who is reinstating to active status, is required to report 12 CEHs earned in the preceding 12 months at the first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9100C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63.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