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481—1062.6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Finding of probable cause for unlicensed practice.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find probable cause to file charges for unlicensed practice if the individual continues to offer services defined as the practice of architecture outlined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while using the title “architect,” “architectural designer,” or similar designation during the period of lapsed licensure.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1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