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481—1062.5</w:t>
      </w:r>
      <w:r>
        <w:rPr>
          <w:rFonts w:ascii="Times New Roman" w:hAnsi="Times New Roman"/>
          <w:b/>
          <w:i w:val="false"/>
          <w:color w:val="000000"/>
          <w:sz w:val="22"/>
        </w:rPr>
        <w:t xml:space="preserve">(544A) </w:t>
      </w:r>
      <w:r>
        <w:rPr>
          <w:rFonts w:ascii="Times New Roman" w:hAnsi="Times New Roman"/>
          <w:b/>
          <w:i w:val="false"/>
          <w:color w:val="000000"/>
          <w:sz w:val="22"/>
        </w:rPr>
        <w:t xml:space="preserve">Reinstatement from inactive status to active status.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1062.5(1)</w:t>
      </w:r>
      <w:r>
        <w:rPr>
          <w:rFonts w:ascii="Times New Roman" w:hAnsi="Times New Roman"/>
          <w:b w:val="false"/>
          <w:i w:val="false"/>
          <w:color w:val="000000"/>
          <w:sz w:val="22"/>
        </w:rPr>
        <w:t> </w:t>
      </w:r>
      <w:r>
        <w:rPr>
          <w:rFonts w:ascii="Times New Roman" w:hAnsi="Times New Roman"/>
          <w:b w:val="false"/>
          <w:i w:val="false"/>
          <w:color w:val="000000"/>
          <w:sz w:val="22"/>
        </w:rPr>
        <w:t>Pay one-half of the current active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in compliance with requirements in </w:t>
      </w:r>
      <w:hyperlink r:id="rId4">
        <w:r>
          <w:rPr>
            <w:rStyle w:val="Hyperlink"/>
            <w:rFonts w:ascii="Times New Roman" w:hAnsi="Times New Roman"/>
            <w:b w:val="false"/>
            <w:i w:val="false"/>
            <w:color w:val="000000"/>
            <w:sz w:val="22"/>
          </w:rPr>
          <w:t>481—Chapter 1063</w:t>
        </w:r>
      </w:hyperlink>
      <w:r>
        <w:rPr>
          <w:rFonts w:ascii="Times New Roman" w:hAnsi="Times New Roman"/>
          <w:b w:val="false"/>
          <w:i w:val="false"/>
          <w:color w:val="000000"/>
          <w:sz w:val="22"/>
        </w:rPr>
        <w:t>. All continuing education hours must be completed in health, safety, and welfare subjects acquired in structured educational activities. The hours reported shall not have been earned more than four years prior to the date of the application to reinstate to active status. The hours used to reinstate to active status cannot again be used to renew.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statement in which the applicant affirms that the applicant has not engaged in any of the practices in Iowa that are listed in Iowa Code section </w:t>
      </w:r>
      <w:hyperlink r:id="rId5">
        <w:r>
          <w:rPr>
            <w:rStyle w:val="Hyperlink"/>
            <w:rFonts w:ascii="Times New Roman" w:hAnsi="Times New Roman"/>
            <w:b w:val="false"/>
            <w:i w:val="false"/>
            <w:color w:val="000000"/>
            <w:sz w:val="22"/>
          </w:rPr>
          <w:t>544A.16</w:t>
        </w:r>
      </w:hyperlink>
      <w:r>
        <w:rPr>
          <w:rFonts w:ascii="Times New Roman" w:hAnsi="Times New Roman"/>
          <w:b w:val="false"/>
          <w:i w:val="false"/>
          <w:color w:val="000000"/>
          <w:sz w:val="22"/>
        </w:rPr>
        <w:t xml:space="preserve"> during the period of inactive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63.pdf" Type="http://schemas.openxmlformats.org/officeDocument/2006/relationships/hyperlink" Id="rId4"/>
    <Relationship TargetMode="External" Target="https://www.legis.iowa.gov/docs/ico/chapter/544A.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