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lapsed certificate of licensure to active status. </w:t>
      </w:r>
      <w:r>
        <w:rPr>
          <w:rFonts w:ascii="Times New Roman" w:hAnsi="Times New Roman"/>
          <w:b w:val="false"/>
          <w:i w:val="false"/>
          <w:color w:val="000000"/>
          <w:sz w:val="22"/>
        </w:rPr>
        <w:t>An individual may reinstate a lapsed certificate of licensure to active licensure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1062.4(1)</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1062.4(2)</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 per month shall not be assessed if the applicant for reinstatement did not, during the period of lapse, engage in any acts or practices for which an active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1062.4(3)</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applicant’s professional activities performed in Iowa during the period in which the individual was unlicensed. The statement shall include a list of all projects with which the applicant had involvement and shall explain the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documented evidence of completion of 24 continuing education hours, which should have been reported on the June 30 renewal date on which the applicant failed to renew, and 12 continuing education hours for each year or portion of a year of expired licensure up to a maximum of 48 continuing education hours. All continuing education hours must be completed in health, safety, and welfare subjects acquired in structured educational activities and be in compliance with requirements in </w:t>
      </w:r>
      <w:hyperlink r:id="rId4">
        <w:r>
          <w:rPr>
            <w:rStyle w:val="Hyperlink"/>
            <w:rFonts w:ascii="Times New Roman" w:hAnsi="Times New Roman"/>
            <w:b w:val="false"/>
            <w:i w:val="false"/>
            <w:color w:val="000000"/>
            <w:sz w:val="22"/>
          </w:rPr>
          <w:t>481—Chapter 1063</w:t>
        </w:r>
      </w:hyperlink>
      <w:r>
        <w:rPr>
          <w:rFonts w:ascii="Times New Roman" w:hAnsi="Times New Roman"/>
          <w:b w:val="false"/>
          <w:i w:val="false"/>
          <w:color w:val="000000"/>
          <w:sz w:val="22"/>
        </w:rPr>
        <w:t xml:space="preserve">. The hours reported shall not have been earned more than four years prior to the date of the application to reinstate to active status. The continuing education hours used for reinstatement may not be used again at the next renewal.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6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