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481—1062.3</w:t>
      </w:r>
      <w:r>
        <w:rPr>
          <w:rFonts w:ascii="Times New Roman" w:hAnsi="Times New Roman"/>
          <w:b/>
          <w:i w:val="false"/>
          <w:color w:val="000000"/>
          <w:sz w:val="22"/>
        </w:rPr>
        <w:t xml:space="preserve">(17A,272C,544A) </w:t>
      </w:r>
      <w:r>
        <w:rPr>
          <w:rFonts w:ascii="Times New Roman" w:hAnsi="Times New Roman"/>
          <w:b/>
          <w:i w:val="false"/>
          <w:color w:val="000000"/>
          <w:sz w:val="22"/>
        </w:rPr>
        <w:t xml:space="preserve">Renewal of certificates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1062.3(1)</w:t>
      </w:r>
      <w:r>
        <w:rPr>
          <w:rFonts w:ascii="Times New Roman" w:hAnsi="Times New Roman"/>
          <w:b w:val="false"/>
          <w:i w:val="false"/>
          <w:color w:val="000000"/>
          <w:sz w:val="22"/>
        </w:rPr>
        <w:t> </w:t>
      </w:r>
      <w:r>
        <w:rPr>
          <w:rFonts w:ascii="Times New Roman" w:hAnsi="Times New Roman"/>
          <w:b w:val="false"/>
          <w:i/>
          <w:color w:val="000000"/>
          <w:sz w:val="22"/>
        </w:rPr>
        <w:t xml:space="preserve">Active status.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July 1 of the year of expiration. A licensee who fails to renew by the expiration date is not authorized to practice architecture in Iowa until the certificate is reinstated as provided in rule </w:t>
      </w:r>
      <w:hyperlink r:id="rId4">
        <w:r>
          <w:rPr>
            <w:rStyle w:val="Hyperlink"/>
            <w:rFonts w:ascii="Times New Roman" w:hAnsi="Times New Roman"/>
            <w:b w:val="false"/>
            <w:i w:val="false"/>
            <w:color w:val="000000"/>
            <w:sz w:val="22"/>
          </w:rPr>
          <w:t>481—1062.4</w:t>
        </w:r>
      </w:hyperlink>
      <w:r>
        <w:rPr>
          <w:rFonts w:ascii="Times New Roman" w:hAnsi="Times New Roman"/>
          <w:b w:val="false"/>
          <w:i w:val="false"/>
          <w:color w:val="000000"/>
          <w:sz w:val="22"/>
        </w:rPr>
        <w:t>(544A,17A).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whose last name begins with the letter A through K will renew in even-numbered years, and a licensee whose last name begins with the letter L through Z will renew in odd-numbered years. However, a license issued on or after May 1 but before June 30 will not expire until June 30 of the next renewal. For example, a license issued on May 17, 2020, would not expire until June 30,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licensee a notice of the pending expiration date at the licensee’s last-known address approximately one month prior to the date the certificate of licensure is scheduled to expire. The notice, when provided, may be by email communication.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board’s receipt of a timely and sufficient renewal application as provided in </w:t>
      </w:r>
      <w:hyperlink r:id="rId5">
        <w:r>
          <w:rPr>
            <w:rStyle w:val="Hyperlink"/>
            <w:rFonts w:ascii="Times New Roman" w:hAnsi="Times New Roman"/>
            <w:b w:val="false"/>
            <w:i w:val="false"/>
            <w:color w:val="000000"/>
            <w:sz w:val="22"/>
          </w:rPr>
          <w:t>193—subrule 7.40(3)</w:t>
        </w:r>
      </w:hyperlink>
      <w:r>
        <w:rPr>
          <w:rFonts w:ascii="Times New Roman" w:hAnsi="Times New Roman"/>
          <w:b w:val="false"/>
          <w:i w:val="false"/>
          <w:color w:val="000000"/>
          <w:sz w:val="22"/>
        </w:rPr>
        <w:t xml:space="preserve">, the board’s administrator will issue a new certificate of licensure reflecting the next expiration date unless grounds exist for denial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will proceed as provided in </w:t>
      </w:r>
      <w:hyperlink r:id="rId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the board may, in lieu of proceeding to a contested case hearing on the denial of a renewal application as provided in rule </w:t>
      </w:r>
      <w:hyperlink r:id="rId8">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 xml:space="preserve">(546,272C), and after or in lieu of giving the licensee an opportunity to come into compliance under </w:t>
      </w:r>
      <w:hyperlink r:id="rId9">
        <w:r>
          <w:rPr>
            <w:rStyle w:val="Hyperlink"/>
            <w:rFonts w:ascii="Times New Roman" w:hAnsi="Times New Roman"/>
            <w:b w:val="false"/>
            <w:i w:val="false"/>
            <w:color w:val="000000"/>
            <w:sz w:val="22"/>
          </w:rPr>
          <w:t>481—subrule 1063.3(3)</w:t>
        </w:r>
      </w:hyperlink>
      <w:r>
        <w:rPr>
          <w:rFonts w:ascii="Times New Roman" w:hAnsi="Times New Roman"/>
          <w:b w:val="false"/>
          <w:i w:val="false"/>
          <w:color w:val="000000"/>
          <w:sz w:val="22"/>
        </w:rPr>
        <w:t xml:space="preserve">, offer a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applicant pursuant to </w:t>
      </w:r>
      <w:hyperlink r:id="rId10">
        <w:r>
          <w:rPr>
            <w:rStyle w:val="Hyperlink"/>
            <w:rFonts w:ascii="Times New Roman" w:hAnsi="Times New Roman"/>
            <w:b w:val="false"/>
            <w:i w:val="false"/>
            <w:color w:val="000000"/>
            <w:sz w:val="22"/>
          </w:rPr>
          <w:t>481—subrule 506.32(5)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may notify a licensee whose certificate of licensure has expired. The failure of the board to provide this courtesy notification or the failure of the licensee to receive the notification will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architecture in Iowa after the license has expired may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1062.3(2)</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This subrule establishes a procedure under which a person issued a certificate of licensure as an architect may apply to the board to be licensed as inactive. Licensure under this subrule is available to a license holder who is not engaged in Iowa in any practice for which licensure as an architect is required. A person eligible to be licensed as inactive may, as an alternative to such licensure, allow the certificate of licensure to lapse. During any period of inactive status, a person may use the title “inactive architect” or “retired architect,” but may not use the sole title of “architect” or any other title that might imply that the person is offering services as an architect by such an action in violation of Iowa Code section </w:t>
      </w:r>
      <w:hyperlink r:id="rId11">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The board will continue to maintain a database of persons licensed as inactive, including information that is not routinely maintained after a certificate has lapsed through the person’s failure to renew. A person who is licensed as inactive will accordingly receive renewal applications,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form will contain a statement in which the applicant affirms that the applicant will not engage in any of the practices in Iowa that are listed in Iowa Code section </w:t>
      </w:r>
      <w:hyperlink r:id="rId12">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without first complying with all rules governing reinstatement to active status. A person in inactive status may reinstate to active status at any time pursuant to rule </w:t>
      </w:r>
      <w:hyperlink r:id="rId13">
        <w:r>
          <w:rPr>
            <w:rStyle w:val="Hyperlink"/>
            <w:rFonts w:ascii="Times New Roman" w:hAnsi="Times New Roman"/>
            <w:b w:val="false"/>
            <w:i w:val="false"/>
            <w:color w:val="000000"/>
            <w:sz w:val="22"/>
          </w:rPr>
          <w:t>481—1062.5</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shall be exempt from the continuing education requirements and will be charged a reduced renewal fee as provided in rule </w:t>
      </w:r>
      <w:hyperlink r:id="rId14">
        <w:r>
          <w:rPr>
            <w:rStyle w:val="Hyperlink"/>
            <w:rFonts w:ascii="Times New Roman" w:hAnsi="Times New Roman"/>
            <w:b w:val="false"/>
            <w:i w:val="false"/>
            <w:color w:val="000000"/>
            <w:sz w:val="22"/>
          </w:rPr>
          <w:t>481—1062.9</w:t>
        </w:r>
      </w:hyperlink>
      <w:r>
        <w:rPr>
          <w:rFonts w:ascii="Times New Roman" w:hAnsi="Times New Roman"/>
          <w:b w:val="false"/>
          <w:i w:val="false"/>
          <w:color w:val="000000"/>
          <w:sz w:val="22"/>
        </w:rPr>
        <w:t xml:space="preserve">(544A,17A). An inactive certificate of licensure will lapse if not timely renewed.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licensed as inactive, perform for a client, business, employer, government body, or other entity those services that may lawfully be provided by a person to whom a certificate of licensure has never been issued. Such services may be performed as long as the person does not in connection with such services use the title “architect” or any other title restricted for use only by architects pursuant to Iowa Code section </w:t>
      </w:r>
      <w:hyperlink r:id="rId15">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(without additional designations such as “inactive” or “retired”). Restricted titles may be used only by active architects who are subject to continuing education requirements to ensure that the use of such titles is consistently associated with the maintenance of competency through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sections </w:t>
      </w:r>
      <w:hyperlink r:id="rId16">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is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A person whose license as an architect has been placed on probation, suspended, revoked, or voluntarily surrendered in connection with a disciplinary investigation or proceeding shall not be eligible for inactive status unless, upon appropriate application, the board first reinstates the license to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62.4.pdf" Type="http://schemas.openxmlformats.org/officeDocument/2006/relationships/hyperlink" Id="rId4"/>
    <Relationship TargetMode="External" Target="https://www.legis.iowa.gov/docs/iac/rule/193.7.40.pdf" Type="http://schemas.openxmlformats.org/officeDocument/2006/relationships/hyperlink" Id="rId5"/>
    <Relationship TargetMode="External" Target="https://www.legis.iowa.gov/docs/iac/chapter/481.506.pdf" Type="http://schemas.openxmlformats.org/officeDocument/2006/relationships/hyperlink" Id="rId6"/>
    <Relationship TargetMode="External" Target="https://www.legis.iowa.gov/docs/iac/chapter/481.506.pdf" Type="http://schemas.openxmlformats.org/officeDocument/2006/relationships/hyperlink" Id="rId7"/>
    <Relationship TargetMode="External" Target="https://www.legis.iowa.gov/docs/iac/rule/481.506.35.pdf" Type="http://schemas.openxmlformats.org/officeDocument/2006/relationships/hyperlink" Id="rId8"/>
    <Relationship TargetMode="External" Target="https://www.legis.iowa.gov/docs/iac/rule/481.1063.3.pdf" Type="http://schemas.openxmlformats.org/officeDocument/2006/relationships/hyperlink" Id="rId9"/>
    <Relationship TargetMode="External" Target="https://www.legis.iowa.gov/docs/iac/rule/481.506.32.pdf" Type="http://schemas.openxmlformats.org/officeDocument/2006/relationships/hyperlink" Id="rId10"/>
    <Relationship TargetMode="External" Target="https://www.legis.iowa.gov/docs/ico/chapter/544A.15.pdf" Type="http://schemas.openxmlformats.org/officeDocument/2006/relationships/hyperlink" Id="rId11"/>
    <Relationship TargetMode="External" Target="https://www.legis.iowa.gov/docs/ico/chapter/544A.16.pdf" Type="http://schemas.openxmlformats.org/officeDocument/2006/relationships/hyperlink" Id="rId12"/>
    <Relationship TargetMode="External" Target="https://www.legis.iowa.gov/docs/iac/rule/481.1062.5.pdf" Type="http://schemas.openxmlformats.org/officeDocument/2006/relationships/hyperlink" Id="rId13"/>
    <Relationship TargetMode="External" Target="https://www.legis.iowa.gov/docs/iac/rule/481.1062.9.pdf" Type="http://schemas.openxmlformats.org/officeDocument/2006/relationships/hyperlink" Id="rId14"/>
    <Relationship TargetMode="External" Target="https://www.legis.iowa.gov/docs/ico/chapter/544A.15.pdf" Type="http://schemas.openxmlformats.org/officeDocument/2006/relationships/hyperlink" Id="rId15"/>
    <Relationship TargetMode="External" Target="https://www.legis.iowa.gov/docs/ico/chapter/544A.15.pdf" Type="http://schemas.openxmlformats.org/officeDocument/2006/relationships/hyperlink" Id="rId16"/>
    <Relationship TargetMode="External" Target="https://www.legis.iowa.gov/docs/ico/chapter/544A.16.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