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481—1062.2</w:t>
      </w:r>
      <w:r>
        <w:rPr>
          <w:rFonts w:ascii="Times New Roman" w:hAnsi="Times New Roman"/>
          <w:b/>
          <w:i w:val="false"/>
          <w:color w:val="000000"/>
          <w:sz w:val="22"/>
        </w:rPr>
        <w:t xml:space="preserve">(544A,17A) </w:t>
      </w:r>
      <w:r>
        <w:rPr>
          <w:rFonts w:ascii="Times New Roman" w:hAnsi="Times New Roman"/>
          <w:b/>
          <w:i w:val="false"/>
          <w:color w:val="000000"/>
          <w:sz w:val="22"/>
        </w:rPr>
        <w:t xml:space="preserve">Licensure. </w:t>
      </w:r>
      <w:r>
        <w:rPr>
          <w:rFonts w:ascii="Times New Roman" w:hAnsi="Times New Roman"/>
          <w:b w:val="false"/>
          <w:i w:val="false"/>
          <w:color w:val="000000"/>
          <w:sz w:val="22"/>
        </w:rPr>
        <w:t>All applicants for licensure will complete an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1062.2(1)</w:t>
      </w:r>
      <w:r>
        <w:rPr>
          <w:rFonts w:ascii="Times New Roman" w:hAnsi="Times New Roman"/>
          <w:b w:val="false"/>
          <w:i w:val="false"/>
          <w:color w:val="000000"/>
          <w:sz w:val="22"/>
        </w:rPr>
        <w:t> </w:t>
      </w:r>
      <w:r>
        <w:rPr>
          <w:rFonts w:ascii="Times New Roman" w:hAnsi="Times New Roman"/>
          <w:b w:val="false"/>
          <w:i/>
          <w:color w:val="000000"/>
          <w:sz w:val="22"/>
        </w:rPr>
        <w:t xml:space="preserve"> Initial licensure. </w:t>
      </w:r>
      <w:r>
        <w:rPr>
          <w:rFonts w:ascii="Times New Roman" w:hAnsi="Times New Roman"/>
          <w:b w:val="false"/>
          <w:i w:val="false"/>
          <w:color w:val="000000"/>
          <w:sz w:val="22"/>
        </w:rPr>
        <w:t xml:space="preserve">To be eligible for initial licensure by examination, all applicants will have satisfied the architecture education requirements as detailed in paragraph </w:t>
      </w:r>
      <w:hyperlink r:id="rId4">
        <w:r>
          <w:rPr>
            <w:rStyle w:val="Hyperlink"/>
            <w:rFonts w:ascii="Times New Roman" w:hAnsi="Times New Roman"/>
            <w:b w:val="false"/>
            <w:i w:val="false"/>
            <w:color w:val="000000"/>
            <w:sz w:val="22"/>
          </w:rPr>
          <w:t>2.2(1)</w:t>
        </w:r>
      </w:hyperlink>
      <w:r>
        <w:rPr>
          <w:rFonts w:ascii="Times New Roman" w:hAnsi="Times New Roman"/>
          <w:b w:val="false"/>
          <w:i/>
          <w:color w:val="000000"/>
          <w:sz w:val="22"/>
        </w:rPr>
        <w:t>“a,”</w:t>
      </w:r>
      <w:r>
        <w:rPr>
          <w:rFonts w:ascii="Times New Roman" w:hAnsi="Times New Roman"/>
          <w:b w:val="false"/>
          <w:i w:val="false"/>
          <w:color w:val="000000"/>
          <w:sz w:val="22"/>
        </w:rPr>
        <w:t xml:space="preserve"> have passed all divisions of the ARE as provided by the NCARB, have completed the NCARB AXP as detailed in paragraph </w:t>
      </w:r>
      <w:hyperlink r:id="rId5">
        <w:r>
          <w:rPr>
            <w:rStyle w:val="Hyperlink"/>
            <w:rFonts w:ascii="Times New Roman" w:hAnsi="Times New Roman"/>
            <w:b w:val="false"/>
            <w:i w:val="false"/>
            <w:color w:val="000000"/>
            <w:sz w:val="22"/>
          </w:rPr>
          <w:t>2.2(1)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have established an NCARB council record. A completed NCARB council record shall be transmitted to and filed in the board office. Upon receipt of the council record from NCARB, the board will provide the applicant with an application for licensure form, which must be completed and returned to the board within three months of receipt of the council record. The board shall issue a license number to the applicant upon receipt of the completed application form and appropriate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education and experience requirements are met when an applicant completes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professional degree in architecture from a program that satisfies the NCARB Education Standard or education deemed equivalent by the board and completion of the NCARB AXP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degree from a four-year bachelor’s degree program that includes at least 60 semester credit hours in architecture-related subjects as referenced in the NCARB Certification Guidelines in the Education Alternative section and completion of the NCARB AXP two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two-year associate degree program that includes at least 30 semester credit hours in architecture-related subjects as referenced in the NCARB Certification Guidelines in the Education Alternative section and completion of the NCARB AXP three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high school degree or its equivalent and completion of the NCARB AXP four times.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To complete each multiple of the NCARB AXP, the candidate must meet the full program requirements for each multiple as defined in the AXP Guidelines. For example, if a candidate is completing the AXP four times, the candidate must document the required number of hours in each experience area four times. Minimum and maximum hours in each experience setting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Examinations for licensure as an architect shall be conducted by the board or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shall make use of the ARE prepared and graded by NCARB under a plan of cooperation with the architectural examining boards of all states and territories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make use of a testing service selected by NCARB to administer the examination, provided the examination is held in at least one location within the boundaries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Examination admittance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will have established an NCARB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NCARB shall notify the testing service of the applicant’s eligibility prior to the applicant’s scheduling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AXP eligibility requirements will be verified and satisfied in accordance with the NCARB Architectural Experience Program Guidelines. Documentation of AXP training units will be submitted on AXP report forms published by NCARB and will be verified by signatures of the licensed architects serving as the intern architect’s supervisors in accordance with the requirements outlined in the NCARB Architectural Experience Program Guidelines. The completed AXP report form shall demonstrate attainment of an aggregate of the minimum number of value units in each training area and shall be submitted to NCARB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1062.2(2)</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 xml:space="preserve">The board or the board administrator may waive examination requirements for applicants who, at the time of application, are licensed as architects in a different jurisdiction and hold an active NCARB certificate. All such applicants who hold an active NCARB certificate are deemed to possess qualifications that are substantially equivalent to those required of applicants for initial licensure in this state. An active NCARB council certificate shall be transmitted to and filed in the board office. Upon receipt of the certificate from NCARB, the board will provide the applicant with an application for licensure form, which must be completed and returned to the board within three months of receipt of the council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1062.2(3)</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 xml:space="preserve">The board may grant registration via verification as provided for in </w:t>
      </w:r>
      <w:hyperlink r:id="rId6">
        <w:r>
          <w:rPr>
            <w:rStyle w:val="Hyperlink"/>
            <w:rFonts w:ascii="Times New Roman" w:hAnsi="Times New Roman"/>
            <w:b w:val="false"/>
            <w:i w:val="false"/>
            <w:color w:val="000000"/>
            <w:sz w:val="22"/>
          </w:rPr>
          <w:t>481—Chapter 501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1062.2(4)</w:t>
      </w:r>
      <w:r>
        <w:rPr>
          <w:rFonts w:ascii="Times New Roman" w:hAnsi="Times New Roman"/>
          <w:b w:val="false"/>
          <w:i w:val="false"/>
          <w:color w:val="000000"/>
          <w:sz w:val="22"/>
        </w:rPr>
        <w:t> </w:t>
      </w:r>
      <w:r>
        <w:rPr>
          <w:rFonts w:ascii="Times New Roman" w:hAnsi="Times New Roman"/>
          <w:b w:val="false"/>
          <w:i/>
          <w:color w:val="000000"/>
          <w:sz w:val="22"/>
        </w:rPr>
        <w:t xml:space="preserve">Military service and veteran reciprocity. </w:t>
      </w:r>
      <w:r>
        <w:rPr>
          <w:rFonts w:ascii="Times New Roman" w:hAnsi="Times New Roman"/>
          <w:b w:val="false"/>
          <w:i w:val="false"/>
          <w:color w:val="000000"/>
          <w:sz w:val="22"/>
        </w:rPr>
        <w:t xml:space="preserve">The board may grant registration for military service applicants, spouses, and veterans as provided for in </w:t>
      </w:r>
      <w:hyperlink r:id="rId7">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1062.2(5)</w:t>
      </w:r>
      <w:r>
        <w:rPr>
          <w:rFonts w:ascii="Times New Roman" w:hAnsi="Times New Roman"/>
          <w:b w:val="false"/>
          <w:i w:val="false"/>
          <w:color w:val="000000"/>
          <w:sz w:val="22"/>
        </w:rPr>
        <w:t> </w:t>
      </w:r>
      <w:r>
        <w:rPr>
          <w:rFonts w:ascii="Times New Roman" w:hAnsi="Times New Roman"/>
          <w:b w:val="false"/>
          <w:i/>
          <w:color w:val="000000"/>
          <w:sz w:val="22"/>
        </w:rPr>
        <w:t xml:space="preserve">Applicants seeking architectural commission in Iowa. </w:t>
      </w:r>
      <w:r>
        <w:rPr>
          <w:rFonts w:ascii="Times New Roman" w:hAnsi="Times New Roman"/>
          <w:b w:val="false"/>
          <w:i w:val="false"/>
          <w:color w:val="000000"/>
          <w:sz w:val="22"/>
        </w:rPr>
        <w:t>A person seeking an architectural commission in this state may be admitted to this state for the purpose of offering to provide architectural services, and for that purpose only, without first being licensed in this state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holds an NCARB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holds a current and valid license issued by a licensing authority recognized by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notifies the board in writing on a form provided by the board that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an NCARB certificate and a current and valid license issued by a licensing authority recognized by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currently licensed in this state but will be present in this state for the purpose of offering to provide architectural services on a temporary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no previous or pending disciplinary action by any licensing authority;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delivers a copy of the notice referred to in paragraph </w:t>
      </w:r>
      <w:hyperlink r:id="rId8">
        <w:r>
          <w:rPr>
            <w:rStyle w:val="Hyperlink"/>
            <w:rFonts w:ascii="Times New Roman" w:hAnsi="Times New Roman"/>
            <w:b w:val="false"/>
            <w:i w:val="false"/>
            <w:color w:val="000000"/>
            <w:sz w:val="22"/>
          </w:rPr>
          <w:t>2.2(5)</w:t>
        </w:r>
      </w:hyperlink>
      <w:r>
        <w:rPr>
          <w:rFonts w:ascii="Times New Roman" w:hAnsi="Times New Roman"/>
          <w:b w:val="false"/>
          <w:i/>
          <w:color w:val="000000"/>
          <w:sz w:val="22"/>
        </w:rPr>
        <w:t>“c”</w:t>
      </w:r>
      <w:r>
        <w:rPr>
          <w:rFonts w:ascii="Times New Roman" w:hAnsi="Times New Roman"/>
          <w:b w:val="false"/>
          <w:i w:val="false"/>
          <w:color w:val="000000"/>
          <w:sz w:val="22"/>
        </w:rPr>
        <w:t xml:space="preserve"> to every potential client to whom the person offers to provide architectural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provides the board with a sworn statement of intent to apply immediately to the board for licensure if selected as the architect for a project in this state.</w:t>
      </w:r>
    </w:p>
    <w:p>
      <w:pPr>
        <w:spacing w:before="0" w:after="0"/>
        <w:ind w:left="120"/>
        <w:jc w:val="both"/>
      </w:pPr>
      <w:r>
        <w:rPr>
          <w:rFonts w:ascii="Times New Roman" w:hAnsi="Times New Roman"/>
          <w:b w:val="false"/>
          <w:i w:val="false"/>
          <w:color w:val="000000"/>
          <w:sz w:val="22"/>
        </w:rPr>
        <w:t>The person is prohibited from actually providing architectural services until the person has been issued a valid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1062.2(6)</w:t>
      </w:r>
      <w:r>
        <w:rPr>
          <w:rFonts w:ascii="Times New Roman" w:hAnsi="Times New Roman"/>
          <w:b w:val="false"/>
          <w:i w:val="false"/>
          <w:color w:val="000000"/>
          <w:sz w:val="22"/>
        </w:rPr>
        <w:t> </w:t>
      </w:r>
      <w:r>
        <w:rPr>
          <w:rFonts w:ascii="Times New Roman" w:hAnsi="Times New Roman"/>
          <w:b w:val="false"/>
          <w:i/>
          <w:color w:val="000000"/>
          <w:sz w:val="22"/>
        </w:rPr>
        <w:t xml:space="preserve">Board refusal to issue license. </w:t>
      </w:r>
      <w:r>
        <w:rPr>
          <w:rFonts w:ascii="Times New Roman" w:hAnsi="Times New Roman"/>
          <w:b w:val="false"/>
          <w:i w:val="false"/>
          <w:color w:val="000000"/>
          <w:sz w:val="22"/>
        </w:rPr>
        <w:t>The board may refuse to issue a certificate of licensure to any person otherwise qualified upon any of the grounds for which a license may be revoked or suspended or may otherwise discipline a licensee based upon a suspension, revocation, or other disciplinary action taken by a licensing authority in this or another jurisdiction. For purposes of this subrule, “disciplinary action” includes the voluntary surrender of a license to resolve a pending disciplinary investigation or proceeding. A certified copy of the record or order of suspension, revocation, voluntary surrender, or other disciplinary action is prima facie evidence of such fact.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0232D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3B.2.2.pdf" Type="http://schemas.openxmlformats.org/officeDocument/2006/relationships/hyperlink" Id="rId4"/>
    <Relationship TargetMode="External" Target="https://www.legis.iowa.gov/docs/iac/rule/193B.2.2.pdf" Type="http://schemas.openxmlformats.org/officeDocument/2006/relationships/hyperlink" Id="rId5"/>
    <Relationship TargetMode="External" Target="https://www.legis.iowa.gov/docs/iac/chapter/481.501.pdf" Type="http://schemas.openxmlformats.org/officeDocument/2006/relationships/hyperlink" Id="rId6"/>
    <Relationship TargetMode="External" Target="https://www.legis.iowa.gov/docs/iac/chapter/481.7.pdf" Type="http://schemas.openxmlformats.org/officeDocument/2006/relationships/hyperlink" Id="rId7"/>
    <Relationship TargetMode="External" Target="https://www.legis.iowa.gov/docs/iac/rule/193B.2.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