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481—1062.1</w:t>
      </w:r>
      <w:r>
        <w:rPr>
          <w:rFonts w:ascii="Times New Roman" w:hAnsi="Times New Roman"/>
          <w:b/>
          <w:i w:val="false"/>
          <w:color w:val="000000"/>
          <w:sz w:val="22"/>
        </w:rPr>
        <w:t xml:space="preserve">(544A,17A)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education program”</w:t>
      </w:r>
      <w:r>
        <w:rPr>
          <w:rFonts w:ascii="Times New Roman" w:hAnsi="Times New Roman"/>
          <w:b w:val="false"/>
          <w:i w:val="false"/>
          <w:color w:val="000000"/>
          <w:sz w:val="22"/>
        </w:rPr>
        <w:t> </w:t>
      </w:r>
      <w:r>
        <w:rPr>
          <w:rFonts w:ascii="Times New Roman" w:hAnsi="Times New Roman"/>
          <w:b w:val="false"/>
          <w:i w:val="false"/>
          <w:color w:val="000000"/>
          <w:sz w:val="22"/>
        </w:rPr>
        <w:t>means a degree accredited by an organization that provides an accreditation system for architecture programs or education deemed equivalent by the board to the National Council of Architectural Registration Boards (NCARB) Education Standard that has been evaluated and found to be an equivalent standard based on the NCARB Alternatives to Education Requirement as identified in the NCARB Certification Guidelines demonstration of successful completion of an Education Evaluation Services for Architects.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“Architectural intern”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“intern architect”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or is completing an approved education program, has completed or is currently enrolled in the NCARB Architectural Experience Program (AXP), and intends to actively pursue licensure by completing the Architect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as prepared and graded by the NCARB.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“AXP applicant”</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completed the AXP training requirements set forth in the NCARB Architectural Experience Program Guidelines and has submitted an application for licensure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“Examination”</w:t>
      </w:r>
      <w:r>
        <w:rPr>
          <w:rFonts w:ascii="Times New Roman" w:hAnsi="Times New Roman"/>
          <w:b w:val="false"/>
          <w:i w:val="false"/>
          <w:color w:val="000000"/>
          <w:sz w:val="22"/>
        </w:rPr>
        <w:t> </w:t>
      </w:r>
      <w:r>
        <w:rPr>
          <w:rFonts w:ascii="Times New Roman" w:hAnsi="Times New Roman"/>
          <w:b w:val="false"/>
          <w:i w:val="false"/>
          <w:color w:val="000000"/>
          <w:sz w:val="22"/>
        </w:rPr>
        <w:t>means the current Architect Registration Examination (ARE)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w:t>
      </w:r>
      <w:r>
        <w:rPr>
          <w:rFonts w:ascii="Times New Roman" w:hAnsi="Times New Roman"/>
          <w:b w:val="false"/>
          <w:i w:val="false"/>
          <w:color w:val="000000"/>
          <w:sz w:val="22"/>
        </w:rPr>
        <w:t> </w:t>
      </w:r>
      <w:r>
        <w:rPr>
          <w:rFonts w:ascii="Times New Roman" w:hAnsi="Times New Roman"/>
          <w:b w:val="false"/>
          <w:i w:val="false"/>
          <w:color w:val="000000"/>
          <w:sz w:val="22"/>
        </w:rPr>
        <w:t>means that an architect is not engaged in Iowa in any practice for which a certificate of licensure is required, including architects who have retired from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of a decision or order or the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National Council of Architectural Registration Boards. The NCARB Architect Registration Examination Guidelines, NCARB Architectural Experience Program Guidelines, and NCARB Certification Guidelines are available through the National Council of Architectural Registration Boards, 1401 H Street NW, Suite 500, Washington, D.C. 20005; NCARB’s website, </w:t>
      </w:r>
      <w:hyperlink r:id="rId5">
        <w:r>
          <w:rPr>
            <w:rStyle w:val="Hyperlink"/>
            <w:rFonts w:ascii="Times New Roman" w:hAnsi="Times New Roman"/>
            <w:b w:val="false"/>
            <w:i w:val="false"/>
            <w:color w:val="000000"/>
            <w:sz w:val="22"/>
            <w:u w:val="single"/>
          </w:rPr>
          <w:t>www.ncarb.org</w:t>
        </w:r>
      </w:hyperlink>
      <w:r>
        <w:rPr>
          <w:rFonts w:ascii="Times New Roman" w:hAnsi="Times New Roman"/>
          <w:b w:val="false"/>
          <w:i w:val="false"/>
          <w:color w:val="000000"/>
          <w:sz w:val="22"/>
        </w:rPr>
        <w:t>; or the architectural examining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 Registration Examination (ARE)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April 2026. The document outlines the requirements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Architectural Experience Program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November 2025. The document outlines the requirements for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Certification Guidelines”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“NCARB Education Guidelines”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“NCARB Education Standards”</w:t>
      </w:r>
      <w:r>
        <w:rPr>
          <w:rFonts w:ascii="Times New Roman" w:hAnsi="Times New Roman"/>
          <w:b w:val="false"/>
          <w:i w:val="false"/>
          <w:color w:val="000000"/>
          <w:sz w:val="22"/>
        </w:rPr>
        <w:t> </w:t>
      </w:r>
      <w:r>
        <w:rPr>
          <w:rFonts w:ascii="Times New Roman" w:hAnsi="Times New Roman"/>
          <w:b w:val="false"/>
          <w:i w:val="false"/>
          <w:color w:val="000000"/>
          <w:sz w:val="22"/>
        </w:rPr>
        <w:t>means the edition of a document by the same title published by the National Council of Architectural Registration Boards in January 2026. The document outlines the requirements for licensure as an architect.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0232D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4A.pdf" Type="http://schemas.openxmlformats.org/officeDocument/2006/relationships/hyperlink" Id="rId4"/>
    <Relationship TargetMode="External" Target="http://www.ncarb.org"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