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481—1061.1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architectural examining board is to administer and enforce the provisions of Iowa Code chapter </w:t>
      </w:r>
      <w:hyperlink r:id="rId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with regard to the practice of architecture in the state of Iowa, including the examining of candidates, issuing licenses to practice architecture, assuring continuing competency through continued education, investigating violations and infractions of the architecture law, disciplining licensees, and imposing civil penalties against nonlicensees. To this end, the board has promulgated these rules to clarify the board’s intent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mission of the board is to protect the public interest. All board rules foster the guiding policies and principles described in Iowa Code section </w:t>
      </w:r>
      <w:hyperlink r:id="rId5">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The board and its licensees strive at all times to protect the public interest by promoting the highest standards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The board maintains a roster of all architects authorized to practice architecture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val="false"/>
          <w:color w:val="000000"/>
          <w:sz w:val="22"/>
        </w:rPr>
        <w:t>Chairperson. The chairperson presides at all meetings, appoints all committees, and otherwise performs all duties pertaining to the office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val="false"/>
          <w:color w:val="000000"/>
          <w:sz w:val="22"/>
        </w:rPr>
        <w:t>Vice chairperson. The vice chairperson, in the absence or incapacity of the chairperson, exercises the duties and possesses the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administrator. The department of inspections, appeals, and licensing may employ a board administrator who will maintain all necessary records of the board and perform all duties in connection with the operation of the board office. The board administrator determines when the legal requirements for licensure have been satisfied with regard to issuance of certificates, licenses or registrations, and the board administrator submits to the board any questionable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pdf" Type="http://schemas.openxmlformats.org/officeDocument/2006/relationships/hyperlink" Id="rId4"/>
    <Relationship TargetMode="External" Target="https://www.legis.iowa.gov/docs/ico/chapter/544A.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