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481—1055.5</w:t>
      </w:r>
      <w:r>
        <w:rPr>
          <w:rFonts w:ascii="Times New Roman" w:hAnsi="Times New Roman"/>
          <w:b/>
          <w:i w:val="false"/>
          <w:color w:val="000000"/>
          <w:sz w:val="22"/>
        </w:rPr>
        <w:t xml:space="preserve">(542B) </w:t>
      </w:r>
      <w:r>
        <w:rPr>
          <w:rFonts w:ascii="Times New Roman" w:hAnsi="Times New Roman"/>
          <w:b/>
          <w:i w:val="false"/>
          <w:color w:val="000000"/>
          <w:sz w:val="22"/>
        </w:rPr>
        <w:t xml:space="preserve">Plats. </w:t>
      </w:r>
      <w:r>
        <w:rPr>
          <w:rFonts w:ascii="Times New Roman" w:hAnsi="Times New Roman"/>
          <w:b w:val="false"/>
          <w:i w:val="false"/>
          <w:color w:val="000000"/>
          <w:sz w:val="22"/>
        </w:rPr>
        <w:t>A plat shall be drawn for every property survey performed showing information developed by the survey and including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1055.5(1)</w:t>
      </w:r>
      <w:r>
        <w:rPr>
          <w:rFonts w:ascii="Times New Roman" w:hAnsi="Times New Roman"/>
          <w:b w:val="false"/>
          <w:i w:val="false"/>
          <w:color w:val="000000"/>
          <w:sz w:val="22"/>
        </w:rPr>
        <w:t> </w:t>
      </w:r>
      <w:r>
        <w:rPr>
          <w:rFonts w:ascii="Times New Roman" w:hAnsi="Times New Roman"/>
          <w:b w:val="false"/>
          <w:i w:val="false"/>
          <w:color w:val="000000"/>
          <w:sz w:val="22"/>
        </w:rPr>
        <w:t>The plat is drawn to a convenient scale that is clearly stated and graphically illustrated by a bar scale on every plat sheet.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1055.5(2)</w:t>
      </w:r>
      <w:r>
        <w:rPr>
          <w:rFonts w:ascii="Times New Roman" w:hAnsi="Times New Roman"/>
          <w:b w:val="false"/>
          <w:i w:val="false"/>
          <w:color w:val="000000"/>
          <w:sz w:val="22"/>
        </w:rPr>
        <w:t> </w:t>
      </w:r>
      <w:r>
        <w:rPr>
          <w:rFonts w:ascii="Times New Roman" w:hAnsi="Times New Roman"/>
          <w:b w:val="false"/>
          <w:i w:val="false"/>
          <w:color w:val="000000"/>
          <w:sz w:val="22"/>
        </w:rPr>
        <w:t>The plat shows the length and bearing of the boundaries of the parcels surveyed. Where the boundary lines show bearing, lengths or locations that vary from those recorded in deeds, abutting plats or other instruments, the following note is placed along such lines: “recorded as (show recorded bearing, length or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1055.5(3)</w:t>
      </w:r>
      <w:r>
        <w:rPr>
          <w:rFonts w:ascii="Times New Roman" w:hAnsi="Times New Roman"/>
          <w:b w:val="false"/>
          <w:i w:val="false"/>
          <w:color w:val="000000"/>
          <w:sz w:val="22"/>
        </w:rPr>
        <w:t> </w:t>
      </w:r>
      <w:r>
        <w:rPr>
          <w:rFonts w:ascii="Times New Roman" w:hAnsi="Times New Roman"/>
          <w:b w:val="false"/>
          <w:i w:val="false"/>
          <w:color w:val="000000"/>
          <w:sz w:val="22"/>
        </w:rPr>
        <w:t>The plat shows and identifies all monuments necessary for the location of the parcel and indicates whether such monuments were found or placed and includes an accurate description of each monument consisting of size, shape, and material type, capped with license number, and color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plat is captioned to identify the person for whom the survey was made and the date of the survey and describes the parcel as provided in rule </w:t>
      </w:r>
      <w:hyperlink r:id="rId4">
        <w:r>
          <w:rPr>
            <w:rStyle w:val="Hyperlink"/>
            <w:rFonts w:ascii="Times New Roman" w:hAnsi="Times New Roman"/>
            <w:b w:val="false"/>
            <w:i w:val="false"/>
            <w:color w:val="000000"/>
            <w:sz w:val="22"/>
          </w:rPr>
          <w:t>481—1055.4</w:t>
        </w:r>
      </w:hyperlink>
      <w:r>
        <w:rPr>
          <w:rFonts w:ascii="Times New Roman" w:hAnsi="Times New Roman"/>
          <w:b w:val="false"/>
          <w:i w:val="false"/>
          <w:color w:val="000000"/>
          <w:sz w:val="22"/>
        </w:rPr>
        <w:t>(542B)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1055.5(5)</w:t>
      </w:r>
      <w:r>
        <w:rPr>
          <w:rFonts w:ascii="Times New Roman" w:hAnsi="Times New Roman"/>
          <w:b w:val="false"/>
          <w:i w:val="false"/>
          <w:color w:val="000000"/>
          <w:sz w:val="22"/>
        </w:rPr>
        <w:t> </w:t>
      </w:r>
      <w:r>
        <w:rPr>
          <w:rFonts w:ascii="Times New Roman" w:hAnsi="Times New Roman"/>
          <w:b w:val="false"/>
          <w:i w:val="false"/>
          <w:color w:val="000000"/>
          <w:sz w:val="22"/>
        </w:rPr>
        <w:t>The plat shows that record title boundaries, centerlines, and other boundary lines were retraced to monuments found or placed by the surveyor.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1055.5(6)</w:t>
      </w:r>
      <w:r>
        <w:rPr>
          <w:rFonts w:ascii="Times New Roman" w:hAnsi="Times New Roman"/>
          <w:b w:val="false"/>
          <w:i w:val="false"/>
          <w:color w:val="000000"/>
          <w:sz w:val="22"/>
        </w:rPr>
        <w:t> </w:t>
      </w:r>
      <w:r>
        <w:rPr>
          <w:rFonts w:ascii="Times New Roman" w:hAnsi="Times New Roman"/>
          <w:b w:val="false"/>
          <w:i w:val="false"/>
          <w:color w:val="000000"/>
          <w:sz w:val="22"/>
        </w:rPr>
        <w:t>The plat shows that the survey is tied to a physically monumented land line that is identified by two U.S. Public Land Survey System corners or by two physically monumented corners of a recorded subdivision. The plat shows a distance relationship measured by the surveyor between the two corners on the physically monumented land line. The physically monumented land line shall be germane to the survey of the lot, parcel, or 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1055.5(7)</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plat bears the signature of the professional land surveyor, a statement certifying that the work was performed by the surveyor or under the surveyor’s direct personal supervision, the date of signature, and the surveyor’s Iowa license number and legible seal as provided in rule </w:t>
      </w:r>
      <w:hyperlink r:id="rId5">
        <w:r>
          <w:rPr>
            <w:rStyle w:val="Hyperlink"/>
            <w:rFonts w:ascii="Times New Roman" w:hAnsi="Times New Roman"/>
            <w:b w:val="false"/>
            <w:i w:val="false"/>
            <w:color w:val="000000"/>
            <w:sz w:val="22"/>
          </w:rPr>
          <w:t>481—1050.1</w:t>
        </w:r>
      </w:hyperlink>
      <w:r>
        <w:rPr>
          <w:rFonts w:ascii="Times New Roman" w:hAnsi="Times New Roman"/>
          <w:b w:val="false"/>
          <w:i w:val="false"/>
          <w:color w:val="000000"/>
          <w:sz w:val="22"/>
        </w:rPr>
        <w:t>(542B).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1055.5(8)</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surveyor shall record every plat and description, excluding subdivision plats, with the county recorder no later than 30 days after signature on the plat by the surveyor.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1055.4.pdf" Type="http://schemas.openxmlformats.org/officeDocument/2006/relationships/hyperlink" Id="rId4"/>
    <Relationship TargetMode="External" Target="https://www.legis.iowa.gov/docs/iac/rule/481.1050.1.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