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481—1055.3</w:t>
      </w:r>
      <w:r>
        <w:rPr>
          <w:rFonts w:ascii="Times New Roman" w:hAnsi="Times New Roman"/>
          <w:b/>
          <w:i w:val="false"/>
          <w:color w:val="000000"/>
          <w:sz w:val="22"/>
        </w:rPr>
        <w:t xml:space="preserve">(542B) </w:t>
      </w:r>
      <w:r>
        <w:rPr>
          <w:rFonts w:ascii="Times New Roman" w:hAnsi="Times New Roman"/>
          <w:b/>
          <w:i w:val="false"/>
          <w:color w:val="000000"/>
          <w:sz w:val="22"/>
        </w:rPr>
        <w:t xml:space="preserve">Boundary location. </w:t>
      </w:r>
      <w:r>
        <w:rPr>
          <w:rFonts w:ascii="Times New Roman" w:hAnsi="Times New Roman"/>
          <w:b w:val="false"/>
          <w:i w:val="false"/>
          <w:color w:val="000000"/>
          <w:sz w:val="22"/>
        </w:rPr>
        <w:t>Every property survey shall be made in accordance with the legal description (record title) boundaries as nearly as is practicable. The surveyor will acquire data necessary to retrace record title boundaries, centerlines, and other boundary line locations. The surveyor will analyze the data and determine the position of the boundaries of the parcel being surveyed. The surveyor will make a field survey, locating and connecting monuments necessary for location of the parcel, and coordinate the facts of such survey with the analysis. The surveyor will set monuments marking the corners of such parcel unless monuments already exist at such corners.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