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481—1055.1</w:t>
      </w:r>
      <w:r>
        <w:rPr>
          <w:rFonts w:ascii="Times New Roman" w:hAnsi="Times New Roman"/>
          <w:b/>
          <w:i w:val="false"/>
          <w:color w:val="000000"/>
          <w:sz w:val="22"/>
        </w:rPr>
        <w:t xml:space="preserve">(542B)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professional land surveyor will comply with the minimum standards for property surveys described by statute or administrative rule. The minimum standards in this chapter apply to all property surveys performed in this state except those done for acquisition plats as described in Iowa Code chapter </w:t>
      </w:r>
      <w:hyperlink r:id="rId4">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