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481—1053.7</w:t>
      </w:r>
      <w:r>
        <w:rPr>
          <w:rFonts w:ascii="Times New Roman" w:hAnsi="Times New Roman"/>
          <w:b/>
          <w:i w:val="false"/>
          <w:color w:val="000000"/>
          <w:sz w:val="22"/>
        </w:rPr>
        <w:t xml:space="preserve">(542B) </w:t>
      </w:r>
      <w:r>
        <w:rPr>
          <w:rFonts w:ascii="Times New Roman" w:hAnsi="Times New Roman"/>
          <w:b/>
          <w:i w:val="false"/>
          <w:color w:val="000000"/>
          <w:sz w:val="22"/>
        </w:rPr>
        <w:t xml:space="preserve">Disputes between licensees and clients. </w:t>
      </w:r>
      <w:r>
        <w:rPr>
          <w:rFonts w:ascii="Times New Roman" w:hAnsi="Times New Roman"/>
          <w:b w:val="false"/>
          <w:i w:val="false"/>
          <w:color w:val="000000"/>
          <w:sz w:val="22"/>
        </w:rPr>
        <w:t>Reports from the insurance commissioner or other agencies on the results of judgments or settlements of disputes arising from malpractice claims or other actions between professional engineers or professional land surveyors and their clients may be referred to counsel or peer review committee. The counsel or peer review committee will investigate the report for violation of the statutes or rules governing the practice or conduct of the licensee. The counsel or peer review committee will advise the board of any probable violations or any further action required or recommend dismissal from further consideration.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